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9AD" w:rsidRDefault="00EE09A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EE09AD" w:rsidRDefault="00EE09AD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 xml:space="preserve">Uchwała Nr </w:t>
      </w:r>
      <w:r w:rsidR="00A73064">
        <w:rPr>
          <w:rFonts w:ascii="Calibri" w:eastAsia="Calibri" w:hAnsi="Calibri" w:cs="Calibri"/>
          <w:b/>
          <w:sz w:val="24"/>
        </w:rPr>
        <w:t>SOK.0007.179.2020</w:t>
      </w: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Rady Gminy Jednorożec</w:t>
      </w: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z dnia </w:t>
      </w:r>
      <w:r w:rsidR="00A73064">
        <w:rPr>
          <w:rFonts w:ascii="Calibri" w:eastAsia="Calibri" w:hAnsi="Calibri" w:cs="Calibri"/>
          <w:b/>
          <w:sz w:val="24"/>
        </w:rPr>
        <w:t xml:space="preserve">30 listopada 2020 r. </w:t>
      </w:r>
    </w:p>
    <w:p w:rsidR="00B33CFA" w:rsidRDefault="00B33CFA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w sprawie „Rocznego Programu Współpracy Gminy Jednorożec z  organizacjami pozarządowymi oraz podmiotami, o których mowa w art. 3 ust. 3 ustawy z dnia                                     24 kwietnia 2003 r. o działalności pożytku publicznego i o wolontariacie na 2021 rok.”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podstawie art. 18 ust. 2 pkt 15 ustawy z dnia 8 marca 1990 r. o samorządzie gminnym                                        (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Dz. U. z 2020r. poz. 713 ze zm.) i art. 5a ust. 1 ustawy z dnia 24 kwietnia 2003 r. o działalności pożytku publicznego i o wolontariacie (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 Dz. U. z 2020r. poz. 1057) Rada Gminy Jednorożec uchwala, co następuje: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1.</w:t>
      </w: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Uchwala się </w:t>
      </w:r>
      <w:r>
        <w:rPr>
          <w:rFonts w:ascii="Calibri" w:eastAsia="Calibri" w:hAnsi="Calibri" w:cs="Calibri"/>
          <w:b/>
          <w:color w:val="000000"/>
          <w:sz w:val="24"/>
        </w:rPr>
        <w:t>„Roczny Program Współpracy Gminy Jednorożec z organizacjami pozarządowymi oraz podmiotami wymienionymi w art. 3 ust. 3 ustawy o działalności pożytku publicznego i o wolontariacie na 2021 rok”,</w:t>
      </w:r>
      <w:r>
        <w:rPr>
          <w:rFonts w:ascii="Calibri" w:eastAsia="Calibri" w:hAnsi="Calibri" w:cs="Calibri"/>
          <w:color w:val="000000"/>
          <w:sz w:val="24"/>
        </w:rPr>
        <w:t xml:space="preserve"> stanowiący załącznik do niniejszej uchwały.</w:t>
      </w: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2.</w:t>
      </w: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Wykonanie uchwały powierza się Wójtowi Gminy Jednorożec.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§ 3.</w:t>
      </w:r>
    </w:p>
    <w:p w:rsidR="00B33CFA" w:rsidRPr="00473EAF" w:rsidRDefault="009B68BB">
      <w:pPr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73EAF">
        <w:rPr>
          <w:sz w:val="24"/>
          <w:szCs w:val="24"/>
        </w:rPr>
        <w:t>Uchwała wchodzi w życie z dniem 1 stycznia 2021 roku.</w:t>
      </w: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BD50EB" w:rsidRDefault="00BD50EB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C33B19" w:rsidRDefault="00C33B19">
      <w:pPr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Załącznik do uchwały Nr</w:t>
      </w:r>
      <w:r w:rsidR="00A73064">
        <w:rPr>
          <w:rFonts w:ascii="Calibri" w:eastAsia="Calibri" w:hAnsi="Calibri" w:cs="Calibri"/>
          <w:i/>
          <w:color w:val="000000"/>
        </w:rPr>
        <w:t xml:space="preserve"> 179 </w:t>
      </w:r>
      <w:r>
        <w:rPr>
          <w:rFonts w:ascii="Calibri" w:eastAsia="Calibri" w:hAnsi="Calibri" w:cs="Calibri"/>
          <w:i/>
          <w:color w:val="000000"/>
        </w:rPr>
        <w:t>Rady Gminy Jednorożec</w:t>
      </w:r>
    </w:p>
    <w:p w:rsidR="00B33CFA" w:rsidRDefault="006A70B6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z dnia </w:t>
      </w:r>
      <w:r w:rsidR="00A73064">
        <w:rPr>
          <w:rFonts w:ascii="Calibri" w:eastAsia="Calibri" w:hAnsi="Calibri" w:cs="Calibri"/>
          <w:i/>
          <w:color w:val="000000"/>
        </w:rPr>
        <w:t xml:space="preserve">30 listopada 2020 r. </w:t>
      </w:r>
    </w:p>
    <w:p w:rsidR="00B33CFA" w:rsidRDefault="00B33CFA">
      <w:pPr>
        <w:suppressAutoHyphens/>
        <w:spacing w:after="0" w:line="240" w:lineRule="auto"/>
        <w:jc w:val="right"/>
        <w:rPr>
          <w:rFonts w:ascii="Calibri" w:eastAsia="Calibri" w:hAnsi="Calibri" w:cs="Calibri"/>
          <w:i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i/>
          <w:color w:val="000000"/>
          <w:sz w:val="24"/>
        </w:rPr>
        <w:t xml:space="preserve"> </w:t>
      </w: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2021 rok.</w:t>
      </w:r>
    </w:p>
    <w:p w:rsidR="00B33CFA" w:rsidRDefault="00B33CFA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1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Współpracy Gminy Jednorożec z Organizacjami Pozarządowymi oraz podmiotami, o których mowa w art. 3 ust. 3 ustawy z dnia 24 kwietnia 2003 r.                                      o działalności pożytku publicznego i o wolontariacie, na 2021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Ilekroć w niniejszej uchwale jest mowa o: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ustawie – należy przez to rozumieć ustawę z dnia 24 kwietnia 2003 r. o działalności pożytku publicznego i o wolontariacie (t. j. Dz. U. z 2020. poz.1057 ze zm.);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działalności pożytku publicznego – należy przez to rozumieć działalność określoną w art. 3 ust. 1 ustawy;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Wójcie – należy przez to rozumieć Wójta Gminy Jednorożec;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GBP – należy przez to rozumieć Gminną Bibliotekę Publiczną w Jednorożcu, 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organizacji pozarządowej – należy przez to rozumieć organizację w rozumieniu </w:t>
      </w:r>
      <w:r>
        <w:rPr>
          <w:rFonts w:ascii="Calibri" w:eastAsia="Calibri" w:hAnsi="Calibri" w:cs="Calibri"/>
          <w:color w:val="000000"/>
          <w:sz w:val="24"/>
        </w:rPr>
        <w:br/>
        <w:t>art. 3 ust. 2 i 3 ustawy;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Rocznym Programie – należy przez to rozumieć uchwałę Rady Gminy Jednorożec w sprawie Rocznego Programu Współpracy Gminy Jednorożec z Organizacjami Pozarządowymi oraz podmiotami, o których mowa w art. 3 ust. 3 ustawy z dnia 24 kwietnia 2003 r. o działalności pożytku publicznego i o wolontariacie, podjętą na podstawie art. 5a ust.1ustawy;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konkursie ofert – należy przez to rozumieć otwarty konkurs ofert na realizację zadań publicznych, o którym mowa w art. 11 ust.2 i art.13 ustawy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z dnia 24 kwietnia 2003 r. o działalności pożytku publicznego i o wolontariacie;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trybie </w:t>
      </w:r>
      <w:r>
        <w:rPr>
          <w:rFonts w:ascii="Calibri" w:eastAsia="Calibri" w:hAnsi="Calibri" w:cs="Calibri"/>
          <w:sz w:val="24"/>
        </w:rPr>
        <w:t>pozakonkursowym – należy przez to rozumieć tryb zlecania realizacji zadań publicznych organizacjom pozarządowym poza konkursem ofert, określony w art. 19a ustawy;</w:t>
      </w:r>
    </w:p>
    <w:p w:rsidR="00B33CFA" w:rsidRDefault="006A70B6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stronie interne</w:t>
      </w:r>
      <w:r>
        <w:rPr>
          <w:rFonts w:ascii="Calibri" w:eastAsia="Calibri" w:hAnsi="Calibri" w:cs="Calibri"/>
          <w:color w:val="000000"/>
          <w:sz w:val="24"/>
        </w:rPr>
        <w:t xml:space="preserve">towej Gminy – należy przez to rozumieć adres internetowy </w:t>
      </w:r>
      <w:hyperlink r:id="rId5">
        <w:r>
          <w:rPr>
            <w:rFonts w:ascii="Calibri" w:eastAsia="Calibri" w:hAnsi="Calibri" w:cs="Calibri"/>
            <w:color w:val="000080"/>
            <w:sz w:val="24"/>
            <w:u w:val="single"/>
          </w:rPr>
          <w:t>www.jednorozec.pl HYPERLINK "http://www.jednorozec.pl/".</w:t>
        </w:r>
      </w:hyperlink>
    </w:p>
    <w:p w:rsidR="00B33CFA" w:rsidRDefault="00EE09AD">
      <w:pPr>
        <w:numPr>
          <w:ilvl w:val="0"/>
          <w:numId w:val="1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sz w:val="24"/>
        </w:rPr>
      </w:pPr>
      <w:hyperlink r:id="rId6">
        <w:r w:rsidR="006A70B6">
          <w:rPr>
            <w:rFonts w:ascii="Calibri" w:eastAsia="Calibri" w:hAnsi="Calibri" w:cs="Calibri"/>
            <w:color w:val="000080"/>
            <w:sz w:val="24"/>
            <w:u w:val="single"/>
          </w:rPr>
          <w:t>Biuletynie Informacji Publicznej – należy przez to rozumieć adres internetowy www.bip.jednorozec.pl</w:t>
        </w:r>
      </w:hyperlink>
      <w:r w:rsidR="006A70B6">
        <w:rPr>
          <w:rFonts w:ascii="Calibri" w:eastAsia="Calibri" w:hAnsi="Calibri" w:cs="Calibri"/>
          <w:color w:val="000080"/>
          <w:sz w:val="24"/>
          <w:u w:val="single"/>
        </w:rPr>
        <w:t>.</w:t>
      </w:r>
    </w:p>
    <w:p w:rsidR="00B33CFA" w:rsidRDefault="00B33CFA">
      <w:pPr>
        <w:keepNext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2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Cele i zasady współpracy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3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4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108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Cel, o którym mowa w § 3, realizowany będzie poprzez następujące cele szczegółowe: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inicjowanie, wspieranie i podtrzymywanie dialogu między Gminą Jednorożec a organizacjami pozarządowymi;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zwiększanie otwartości Gminy na nowe inicjatywy i wykorzystywanie możliwie dostępnych procedur służących ich skutecznej i jak najlepszej realizacji;</w:t>
      </w:r>
    </w:p>
    <w:p w:rsidR="00B33CFA" w:rsidRDefault="006A70B6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analizowanie i ocenianie rezultatów współpracy oraz realizowanie działań usprawniających.</w:t>
      </w:r>
    </w:p>
    <w:p w:rsidR="00B33CFA" w:rsidRDefault="00B33CFA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5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Współpraca Gminy Jednorożec z organizacjami pozarządowymi odbywa się na zasadach: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suwerenności stron – gwarancje zachowania niezależności Gminy i organizacji pozarządowych, ich równość oraz autonomię, w granicach przyznanych przez prawo;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partnerstwa – podstawą podejmowanych działań związanych z definiowaniem problemów społecznych, wykonywaniem zadań publicznych oraz pozostałych procesów związanych z funkcjonowaniem organizacji pozarządowych jest współpraca Gminy i organizacji pozarządowych oparta na wzajemnym szacunku i uznaniu równorzędności stron;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efektywności – określenie przez Gminę Jednorożec i organizacje pozarządowe należytego sposobu osiągania zakładanych celów i konieczności ich realizacji oraz </w:t>
      </w:r>
      <w:r>
        <w:rPr>
          <w:rFonts w:ascii="Calibri" w:eastAsia="Calibri" w:hAnsi="Calibri" w:cs="Calibri"/>
          <w:color w:val="000000"/>
          <w:sz w:val="24"/>
        </w:rPr>
        <w:lastRenderedPageBreak/>
        <w:t>usilne dążenie do osiągania jak najlepszych efektów w zakresie wzajemnej współpracy oraz minimalizacji kosztów z tym związanych;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i procedur;</w:t>
      </w:r>
    </w:p>
    <w:p w:rsidR="00B33CFA" w:rsidRDefault="006A70B6">
      <w:pPr>
        <w:numPr>
          <w:ilvl w:val="0"/>
          <w:numId w:val="3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jawności – zachowanie przejrzystości podejmowanych działań oraz informowanie w granicach wyznaczonych przez prawo o ich przebiegu i stosowanych w nich kryteriach.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3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Przedmiot i formy współpracy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6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:rsidR="00B33CFA" w:rsidRDefault="006A70B6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Przedmiot, o którym mowa w ust. 1, jest procesem wieloetapowym, na który składają się w szczególności:</w:t>
      </w:r>
    </w:p>
    <w:p w:rsidR="00B33CFA" w:rsidRDefault="006A70B6">
      <w:pPr>
        <w:numPr>
          <w:ilvl w:val="0"/>
          <w:numId w:val="4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zdefiniowanie istniejących problemów społecznych mieszkańców Gminy Jednorożec oraz podejmowanie działań zmierzających do ich rozwiązania;</w:t>
      </w:r>
    </w:p>
    <w:p w:rsidR="00B33CFA" w:rsidRDefault="006A70B6">
      <w:pPr>
        <w:numPr>
          <w:ilvl w:val="0"/>
          <w:numId w:val="4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wsparcie finansowe i pozafinansowe kierowane przez Gminę Jednorożec                                               dla realizowanych działań przez organizacje pozarządowe;</w:t>
      </w:r>
    </w:p>
    <w:p w:rsidR="00B33CFA" w:rsidRDefault="006A70B6">
      <w:pPr>
        <w:numPr>
          <w:ilvl w:val="0"/>
          <w:numId w:val="4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podejmowanie inicjatyw dla rozwoju współpracy Gminy Jednorożec i organizacji pozarządowych w celu zaspokajania istniejących potrzeb mieszkańców Gminy;</w:t>
      </w:r>
    </w:p>
    <w:p w:rsidR="00B33CFA" w:rsidRDefault="006A70B6">
      <w:pPr>
        <w:numPr>
          <w:ilvl w:val="0"/>
          <w:numId w:val="4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dążenie do podwyższenia stopnia skuteczności współpracy i rozwoju jej form.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7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Współpraca Gminy Jednorożec z organizacjami pozarządowymi odbywa się w formach finansowych lub pozafinansowych.</w:t>
      </w:r>
    </w:p>
    <w:p w:rsidR="00B33CFA" w:rsidRDefault="00B33CF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8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finansowych form współpracy Gminy Jednorożec z organizacjami pozarządowymi zalicza się w szczególności:</w:t>
      </w:r>
    </w:p>
    <w:p w:rsidR="00B33CFA" w:rsidRDefault="006A70B6">
      <w:pPr>
        <w:numPr>
          <w:ilvl w:val="0"/>
          <w:numId w:val="5"/>
        </w:numPr>
        <w:tabs>
          <w:tab w:val="left" w:pos="700"/>
        </w:tabs>
        <w:suppressAutoHyphens/>
        <w:spacing w:after="0" w:line="240" w:lineRule="auto"/>
        <w:ind w:left="70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otwartego konkursu ofert na zasadach określonych w ustawie, w formie:</w:t>
      </w:r>
    </w:p>
    <w:p w:rsidR="00B33CFA" w:rsidRDefault="006A70B6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powierzania wykonywania zadań publicznych, wraz z udzieleniem dotacji na finansowanie ich realizacji, albo</w:t>
      </w:r>
    </w:p>
    <w:p w:rsidR="00B33CFA" w:rsidRDefault="006A70B6">
      <w:pPr>
        <w:numPr>
          <w:ilvl w:val="0"/>
          <w:numId w:val="5"/>
        </w:numPr>
        <w:tabs>
          <w:tab w:val="left" w:pos="1080"/>
        </w:tabs>
        <w:suppressAutoHyphens/>
        <w:spacing w:after="0" w:line="240" w:lineRule="auto"/>
        <w:ind w:left="108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wspierania wykonywania zadań publicznych, wraz z udzieleniem dotacji na dofinansowanie ich realizacji,</w:t>
      </w:r>
    </w:p>
    <w:p w:rsidR="00B33CFA" w:rsidRDefault="006A70B6">
      <w:pPr>
        <w:numPr>
          <w:ilvl w:val="0"/>
          <w:numId w:val="5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zlecanie organizacjom pozarządowym realizacji zadań publicznych w trybie art. 19a ustawy.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§ 9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Do pozafinansowych form współpracy zalicza się w szczególności: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konsultowanie z organizacjami pozarządowymi lub Radą Pożytku Publicznego, w przypadku jej utworzenia, projektów aktów prawa miejscowego w dziedzinach dotyczących działalności statutowej tych organizacji;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udział przedstawicieli organizacji pozarządowych w pracach komisji konkursowych dla opiniowania ofert złożonych w otwartych konkursach ofert;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serwisu internetowego dla organizacji pozarządowych na stronie internetowej Gminy Jednorożec;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tworzenie wspólnych zespołów o charakterze doradczym i inicjatywnym, złożonych z przedstawicieli organizacji pozarządowych oraz przedstawicieli Gminy w Jednorożcu;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promowanie działalności podmiotów będących uczestnikami realizacji Rocznego Programu,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wspieranie, rozwijanie i promowanie idei wolontariatu oraz wykorzystywanie potencjału wolontariuszy,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obejmowanie patronatem przez władze Gminy Jednorożec projektów i inicjatyw realizowanych przez organizacje pozarządowe;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:rsidR="00B33CFA" w:rsidRDefault="006A70B6">
      <w:pPr>
        <w:numPr>
          <w:ilvl w:val="0"/>
          <w:numId w:val="6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wspólne opracowywanie i realizacja projektów finansowanych ze środków zewnętrznych.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4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Priorytetowe zadania publiczne oraz wysokość środków przeznaczona na realizację Rocznego Programu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10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 xml:space="preserve">1. Określa się zadania priorytetowe oraz planowaną wysokość środków na ich realizację w zakresie współpracy Gminy Jednorożec z organizacjami pozarządowymi na </w:t>
      </w:r>
      <w:r>
        <w:rPr>
          <w:rFonts w:ascii="Calibri" w:eastAsia="Calibri" w:hAnsi="Calibri" w:cs="Calibri"/>
          <w:b/>
          <w:color w:val="000000"/>
          <w:sz w:val="24"/>
        </w:rPr>
        <w:t>2021 rok</w:t>
      </w:r>
      <w:r>
        <w:rPr>
          <w:rFonts w:ascii="Calibri" w:eastAsia="Calibri" w:hAnsi="Calibri" w:cs="Calibri"/>
          <w:color w:val="000000"/>
          <w:sz w:val="24"/>
        </w:rPr>
        <w:t>:</w:t>
      </w:r>
    </w:p>
    <w:p w:rsidR="00B33CFA" w:rsidRDefault="00B33CFA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70"/>
        </w:tabs>
        <w:suppressAutoHyphens/>
        <w:spacing w:after="0" w:line="240" w:lineRule="auto"/>
        <w:ind w:left="370"/>
        <w:jc w:val="both"/>
        <w:rPr>
          <w:rFonts w:ascii="Calibri" w:eastAsia="Calibri" w:hAnsi="Calibri" w:cs="Calibri"/>
          <w:color w:val="000000"/>
          <w:sz w:val="24"/>
          <w:shd w:val="clear" w:color="auto" w:fill="FFFF00"/>
        </w:rPr>
      </w:pPr>
      <w:r>
        <w:rPr>
          <w:rFonts w:ascii="Calibri" w:eastAsia="Calibri" w:hAnsi="Calibri" w:cs="Calibri"/>
          <w:b/>
          <w:color w:val="000000"/>
          <w:sz w:val="24"/>
        </w:rPr>
        <w:t>1) „Kultura, sztuka, ochrona dóbr kultury i dziedzictwa narodowego” – w wysokości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22 000,00 zł: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wspieranie inicjatyw kultywujących pamięć o zasłużonych dla Gminy Jednorożec, regionu i kraju wybitnych postaciach, miejscach i wydarzeniach historycznych, ochrona i popularyzowanie tradycji i dziedzictwa kulturowego Gminy Jednorożec oraz jej mieszkańców,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wydawanie materiałów promujących Gminę Jednorożec, publikacji przyrodniczych, historycznych, naukowych oraz innych materiałów okolicznościowych związanych z Gminą Jednorożec,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organizacja cyklicznych imprez patriotycznych na terenie gminy Jednorożec,</w:t>
      </w:r>
    </w:p>
    <w:p w:rsidR="00B33CFA" w:rsidRDefault="006A70B6">
      <w:pPr>
        <w:numPr>
          <w:ilvl w:val="0"/>
          <w:numId w:val="7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stałe zajęcia z zespołami folklorystycznymi.</w:t>
      </w:r>
    </w:p>
    <w:p w:rsidR="00B33CFA" w:rsidRDefault="00B33CFA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B33CFA">
      <w:pPr>
        <w:tabs>
          <w:tab w:val="left" w:pos="111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7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2) „Wspieranie i upowszechnianie kultury fizycznej i sportu” – w wysokości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B33CFA" w:rsidRDefault="006A70B6">
      <w:pPr>
        <w:tabs>
          <w:tab w:val="left" w:pos="37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56 000,00 zł:</w:t>
      </w:r>
    </w:p>
    <w:p w:rsidR="00B33CFA" w:rsidRDefault="006A70B6">
      <w:pPr>
        <w:numPr>
          <w:ilvl w:val="0"/>
          <w:numId w:val="8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stałe zajęcia sportowo-rekreacyjne w ramach działalności klubów sportowych,</w:t>
      </w:r>
    </w:p>
    <w:p w:rsidR="00B33CFA" w:rsidRDefault="006A70B6">
      <w:pPr>
        <w:numPr>
          <w:ilvl w:val="0"/>
          <w:numId w:val="8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organizacja zawodów sportowych szczebla gminnego w różnych dyscyplinach,</w:t>
      </w:r>
    </w:p>
    <w:p w:rsidR="00B33CFA" w:rsidRDefault="006A70B6">
      <w:pPr>
        <w:numPr>
          <w:ilvl w:val="0"/>
          <w:numId w:val="8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stałe zajęcia sportowe dla osób niepełnosprawnych,</w:t>
      </w:r>
    </w:p>
    <w:p w:rsidR="00B33CFA" w:rsidRDefault="006A70B6">
      <w:pPr>
        <w:numPr>
          <w:ilvl w:val="0"/>
          <w:numId w:val="8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imprezy sportowe o zasięgu lokalnym, krajowym i międzynarodowym;</w:t>
      </w:r>
    </w:p>
    <w:p w:rsidR="00B33CFA" w:rsidRDefault="006A70B6">
      <w:pPr>
        <w:numPr>
          <w:ilvl w:val="0"/>
          <w:numId w:val="8"/>
        </w:num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prowadzenie zajęć sportowych (gimnastycznych, zespołowych) w świetlicach wiejskich na terenie Gminy Jednorożec;</w:t>
      </w:r>
    </w:p>
    <w:p w:rsidR="00B33CFA" w:rsidRDefault="00B33CFA">
      <w:pPr>
        <w:tabs>
          <w:tab w:val="left" w:pos="1110"/>
        </w:tabs>
        <w:suppressAutoHyphens/>
        <w:spacing w:after="0" w:line="240" w:lineRule="auto"/>
        <w:ind w:left="1110" w:hanging="360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0"/>
          <w:tab w:val="left" w:pos="1095"/>
        </w:tabs>
        <w:suppressAutoHyphens/>
        <w:spacing w:after="0" w:line="240" w:lineRule="auto"/>
        <w:ind w:left="30" w:hanging="15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3) „Działalność  na rzecz osób w wieku emerytalnym” – w wysokości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2 000,00 zł: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a) wspieranie aktywności zawodowej seniorów poprzez m.in. promocję, szkolenia, warsztaty, seminaria, aktywne pośrednictwo pracy, doradztwo dla pracodawców,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b) 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c) rozwijanie działalności informacyjno-doradczej dla osób starszych,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d)prowadzenie działań ukierunkowanych na poradnictwo dotyczące problemów i uprawnień seniorów i ich rodzin,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e) prowadzenie działalności wspierającej rodziny osób starszych poprzez między innymi szkolenia, pomoc psychologiczną, prawną, socjalną,</w:t>
      </w:r>
    </w:p>
    <w:p w:rsidR="00B33CFA" w:rsidRDefault="006A70B6">
      <w:pPr>
        <w:tabs>
          <w:tab w:val="left" w:pos="180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f) rozwijanie wolontariatu wśród seniorów w tym między innymi organizacja szkoleń dla wolontariuszy, warsztatów, konferencji, kampanii informacyjno-promocyjnych,</w:t>
      </w:r>
    </w:p>
    <w:p w:rsidR="00B33CFA" w:rsidRDefault="006A70B6">
      <w:pPr>
        <w:tabs>
          <w:tab w:val="left" w:pos="390"/>
          <w:tab w:val="left" w:pos="750"/>
          <w:tab w:val="left" w:pos="1770"/>
        </w:tabs>
        <w:suppressAutoHyphens/>
        <w:spacing w:after="0" w:line="240" w:lineRule="auto"/>
        <w:ind w:left="33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g) diagnozowanie aktualnych potrzeb i problemów seniorów (rozwój usług na rzecz seniorów oraz ich aktywności w środowisku lokalnym);</w:t>
      </w:r>
    </w:p>
    <w:p w:rsidR="00B33CFA" w:rsidRDefault="00B33CFA">
      <w:pPr>
        <w:tabs>
          <w:tab w:val="left" w:pos="390"/>
          <w:tab w:val="left" w:pos="750"/>
          <w:tab w:val="left" w:pos="1770"/>
        </w:tabs>
        <w:suppressAutoHyphens/>
        <w:spacing w:after="0" w:line="240" w:lineRule="auto"/>
        <w:ind w:left="330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30"/>
          <w:tab w:val="left" w:pos="750"/>
          <w:tab w:val="left" w:pos="177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4) „Zajęcia świetlicowe dla dzieci i młodzieży realizowane w ramach świetlic wiejskich       znajdujących się na terenie gminy Jednorożec”- w wysokości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:rsidR="00B33CFA" w:rsidRDefault="006A70B6">
      <w:pPr>
        <w:tabs>
          <w:tab w:val="left" w:pos="330"/>
          <w:tab w:val="left" w:pos="750"/>
          <w:tab w:val="left" w:pos="177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20 000,00 zł:</w:t>
      </w:r>
    </w:p>
    <w:p w:rsidR="00B33CFA" w:rsidRDefault="006A70B6">
      <w:pPr>
        <w:tabs>
          <w:tab w:val="left" w:pos="390"/>
          <w:tab w:val="left" w:pos="750"/>
          <w:tab w:val="left" w:pos="177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>a) organizacja zajęć świetlicowych uwzględniających potrzeby edukacyjne oraz rozwojowe dzieci i młodzieży, a w szczególności zajęcia rozwijające zainteresowania dzieci                                        i młodzieży.</w:t>
      </w:r>
    </w:p>
    <w:p w:rsidR="00B33CFA" w:rsidRDefault="00B33CFA">
      <w:pPr>
        <w:tabs>
          <w:tab w:val="left" w:pos="390"/>
          <w:tab w:val="left" w:pos="750"/>
          <w:tab w:val="left" w:pos="177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2. Planowana wysokość środków przeznaczonych na realizację Rocznego Programu wynosi 100 000,00 zł.</w:t>
      </w:r>
    </w:p>
    <w:p w:rsidR="00B33CFA" w:rsidRDefault="006A70B6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3. Szczegółowe określenie wysokości środków przeznaczonych na realizację Rocznego Programu zawiera projekt uchwały budżetowej Rady Gminy Jednorożec na </w:t>
      </w:r>
      <w:r>
        <w:rPr>
          <w:rFonts w:ascii="Calibri" w:eastAsia="Calibri" w:hAnsi="Calibri" w:cs="Calibri"/>
          <w:b/>
          <w:color w:val="000000"/>
          <w:sz w:val="24"/>
        </w:rPr>
        <w:t>2021 rok.</w:t>
      </w:r>
    </w:p>
    <w:p w:rsidR="00B33CFA" w:rsidRDefault="006A70B6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4. Zlecanie organizacjom pozarządowym realizacji zadań publicznych w roku 2021 może nastąpić na podstawie projektu uchwały, o której mowa w ust. 3, przekazanego Radzie Gminy Jednorożec na zasadach określonych w przepisach ustawy o finansach publicznych.</w:t>
      </w:r>
    </w:p>
    <w:p w:rsidR="00B33CFA" w:rsidRDefault="00B33CFA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5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Okres i sposób realizacji Rocznego Programu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11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Roczny Program obowiązuje w okresie </w:t>
      </w:r>
      <w:r>
        <w:rPr>
          <w:rFonts w:ascii="Calibri" w:eastAsia="Calibri" w:hAnsi="Calibri" w:cs="Calibri"/>
          <w:b/>
          <w:color w:val="000000"/>
          <w:sz w:val="24"/>
          <w:u w:val="single"/>
        </w:rPr>
        <w:t>od 1 stycznia 2021 roku do 31 grudnia 2021 roku.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B33CFA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12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Roczny Program realizowany jest w drodze współpracy Gminy Jednorożec oraz organizacji pozarządowych.</w:t>
      </w:r>
    </w:p>
    <w:p w:rsidR="00B33CFA" w:rsidRDefault="006A70B6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Podmiotami realizującymi postanowienia Rocznego Programu w zakresie współpracy, o której mowa w ust. 1, są w szczególności:</w:t>
      </w:r>
    </w:p>
    <w:p w:rsidR="00B33CFA" w:rsidRDefault="006A70B6">
      <w:pPr>
        <w:numPr>
          <w:ilvl w:val="0"/>
          <w:numId w:val="9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Rada Gminy Jednorożec;</w:t>
      </w:r>
    </w:p>
    <w:p w:rsidR="00B33CFA" w:rsidRDefault="006A70B6">
      <w:pPr>
        <w:numPr>
          <w:ilvl w:val="0"/>
          <w:numId w:val="9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Wójt Gminy Jednorożec;</w:t>
      </w:r>
    </w:p>
    <w:p w:rsidR="00B33CFA" w:rsidRDefault="006A70B6">
      <w:pPr>
        <w:numPr>
          <w:ilvl w:val="0"/>
          <w:numId w:val="9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Organizacje pozarządowe posiadające siedzibę w Gminie Jednorożec lub działające      na rzecz Gminy Jednorożec;</w:t>
      </w:r>
    </w:p>
    <w:p w:rsidR="00B33CFA" w:rsidRDefault="006A70B6">
      <w:pPr>
        <w:numPr>
          <w:ilvl w:val="0"/>
          <w:numId w:val="9"/>
        </w:numPr>
        <w:tabs>
          <w:tab w:val="left" w:pos="720"/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 xml:space="preserve">Roczny program realizowany będzie poprzez: </w:t>
      </w:r>
    </w:p>
    <w:p w:rsidR="00B33CFA" w:rsidRDefault="006A70B6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1) zlecanie organizacjom pozarządowym zadań publicznych na zasadach określonych w ustawie wraz z udzieleniem dotacji na ten cel, </w:t>
      </w:r>
    </w:p>
    <w:p w:rsidR="00B33CFA" w:rsidRDefault="006A70B6">
      <w:pPr>
        <w:suppressAutoHyphens/>
        <w:spacing w:after="0" w:line="240" w:lineRule="auto"/>
        <w:ind w:left="426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2) powierzanie organizacjom pozarządowym zadań publicznych na zasadach określonych w ustawie wraz z udzielaniem dotacji na ten cel, </w:t>
      </w:r>
    </w:p>
    <w:p w:rsidR="00B33CFA" w:rsidRDefault="006A70B6">
      <w:pPr>
        <w:suppressAutoHyphens/>
        <w:spacing w:after="0" w:line="240" w:lineRule="auto"/>
        <w:ind w:left="720" w:hanging="29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3) tworzenie wspólnych zespołów o charakterze doradczym i inicjatywnym, </w:t>
      </w:r>
    </w:p>
    <w:p w:rsidR="00B33CFA" w:rsidRDefault="006A70B6">
      <w:pPr>
        <w:suppressAutoHyphens/>
        <w:spacing w:after="0" w:line="240" w:lineRule="auto"/>
        <w:ind w:left="720" w:hanging="294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4) 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:rsidR="00B33CFA" w:rsidRDefault="00B33CF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Rozdział 6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oceny realizacji Rocznego Programu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13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Ustala się mierniki oceny realizacji Rocznego Programu.</w:t>
      </w:r>
    </w:p>
    <w:p w:rsidR="00B33CFA" w:rsidRDefault="006A70B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Miernikami, o których mowa w ust. 1, są w szczególności: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wysokość środków finansowych przekazanych z budżetu Gminy Jednorożec organizacjom pozarządowym na realizację zadań publicznych;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udział środków własnych organizacji pozarządowych w realizacji zadań publicznych zleconych w drodze konkursów ofert;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liczba zadań publicznych realizowanych przez organizacje pozarządowe, z wyszczególnieniem zadań zleconych w drodze konkursów ofert i trybu pozakonkursowego;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liczba umów zawartych z organizacjami pozarządowymi na realizację zadań publicznych;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liczba organizacji pozarządowych, którym zlecono realizację zadań publicznych;</w:t>
      </w:r>
    </w:p>
    <w:p w:rsidR="00B33CFA" w:rsidRDefault="006A70B6">
      <w:pPr>
        <w:numPr>
          <w:ilvl w:val="0"/>
          <w:numId w:val="10"/>
        </w:numPr>
        <w:tabs>
          <w:tab w:val="left" w:pos="700"/>
        </w:tabs>
        <w:suppressAutoHyphens/>
        <w:spacing w:after="0" w:line="240" w:lineRule="auto"/>
        <w:ind w:left="70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liczba form współpracy Gminy Jednorożec z organizacjami pozarządowymi o charakterze pozafinansowym, ze szczególnym uwzględnieniem działań i kampanii promujących sektor pozarządowy oraz zespołów doradczych i inicjatywnych, których członkami są przedstawiciele organizacji pozarządowych.</w:t>
      </w:r>
    </w:p>
    <w:p w:rsidR="00B33CFA" w:rsidRDefault="006A70B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Wójt przedkłada Radzie Gminy Jednorożec do 30 kwietnia 2022 roku sprawozdanie z realizacji Rocznego Programu, uwzględniając mierniki wskazane w ust. 2.</w:t>
      </w:r>
    </w:p>
    <w:p w:rsidR="00B33CFA" w:rsidRDefault="00B33CFA">
      <w:pPr>
        <w:keepNext/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7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Tryb powoływania i zasady działania komisji konkursowych do opiniowania ofert w otwartych konkursach ofert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14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:rsidR="00B33CFA" w:rsidRDefault="006A70B6">
      <w:pPr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Komisje konkursowe powołuje Wójt.</w:t>
      </w:r>
    </w:p>
    <w:p w:rsidR="00B33CFA" w:rsidRDefault="00B33CF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15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skład komisji konkursowej wchodzi minimum dwóch przedstawicieli Wójta oraz dwóch przedstawicieli organizacji pozarządowych.</w:t>
      </w:r>
    </w:p>
    <w:p w:rsidR="00B33CFA" w:rsidRDefault="006A70B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Przedstawicieli organizacji pozarządowych wybiera Wójt spośród zgłoszonych kandydatur.</w:t>
      </w:r>
    </w:p>
    <w:p w:rsidR="00B33CFA" w:rsidRDefault="006A70B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Kandydatem na członka komisji konkursowej może zostać każdy przedstawiciel organizacji pozarządowej mającej siedzibę na terenie Gminy Jednorożec lub działającej </w:t>
      </w:r>
      <w:r>
        <w:rPr>
          <w:rFonts w:ascii="Calibri" w:eastAsia="Calibri" w:hAnsi="Calibri" w:cs="Calibri"/>
          <w:color w:val="000000"/>
          <w:sz w:val="24"/>
        </w:rPr>
        <w:lastRenderedPageBreak/>
        <w:t>na rzecz jego mieszkańców, pod warunkiem, że organizacja którą reprezentuje, nie będzie brała udziału w konkursie.</w:t>
      </w:r>
    </w:p>
    <w:p w:rsidR="00B33CFA" w:rsidRDefault="006A70B6">
      <w:pPr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16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zapraszający do zgłaszania kandydatur na członka komisji konkursowej ogłasza Wójt.</w:t>
      </w:r>
    </w:p>
    <w:p w:rsidR="00B33CFA" w:rsidRDefault="006A70B6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17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Każdy członek komisji konkursowej przed rozpoczęciem działalności komisji zobowiązany jest do złożenia pisemnego oświadczenia o nieuczestniczeniu w ogłoszonym konkursie organizacji, z którą jest w jakikolwiek sposób związany.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Za pracę każdej komisji konkursowej odpowiedzialny jest Przewodniczący, którym jest przedstawiciel GBP wskazany przez Wójta. W przypadku nieobecności Przewodniczącego, prawomocnym zastępcą zostaje inny przedstawiciel Wójta wskazany wcześniej przez Przewodniczącego.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Członkowie komisji konkursowej zobowiązani są do pisemnego sporządzania opinii oferty.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Na podstawie opinii członków komisji, sporządzane jest stanowisko komisji konkursowej.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:rsidR="00B33CFA" w:rsidRDefault="006A70B6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:rsidR="00B33CFA" w:rsidRDefault="00B33CFA">
      <w:p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18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Komisja konkursowa podczas opiniowania ofert stosuje kryteria wyszczególnione w ustawie. </w:t>
      </w:r>
    </w:p>
    <w:p w:rsidR="00B33CFA" w:rsidRDefault="00B33CF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B33CFA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19</w:t>
      </w:r>
    </w:p>
    <w:p w:rsidR="00B33CFA" w:rsidRDefault="00B33CFA">
      <w:pPr>
        <w:tabs>
          <w:tab w:val="left" w:pos="360"/>
        </w:tabs>
        <w:suppressAutoHyphens/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24"/>
        </w:rPr>
      </w:pPr>
    </w:p>
    <w:p w:rsidR="00B33CFA" w:rsidRDefault="006A70B6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:rsidR="00B33CFA" w:rsidRDefault="006A70B6">
      <w:pPr>
        <w:numPr>
          <w:ilvl w:val="0"/>
          <w:numId w:val="15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Informacje o złożonych ofertach oraz o ofertach niespełniających wymogów formalnych, jak również o odmowie lub udzieleniu dotacji na realizację zadań, będą podane                                </w:t>
      </w:r>
      <w:r>
        <w:rPr>
          <w:rFonts w:ascii="Calibri" w:eastAsia="Calibri" w:hAnsi="Calibri" w:cs="Calibri"/>
          <w:color w:val="000000"/>
          <w:sz w:val="24"/>
        </w:rPr>
        <w:lastRenderedPageBreak/>
        <w:t>do publicznej wiadomości w formie wykazu umieszczonego w Biuletynie Informacji Publicznej, na tablicy ogłoszeń Urzędu Gminy w Jednorożcu oraz na stronie internetowej Gminy.</w:t>
      </w:r>
    </w:p>
    <w:p w:rsidR="00B33CFA" w:rsidRDefault="00B33CFA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Rozdział 8</w:t>
      </w:r>
    </w:p>
    <w:p w:rsidR="00B33CFA" w:rsidRDefault="006A70B6">
      <w:pPr>
        <w:keepNext/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Sposób tworzenia Rocznego Programu oraz przebieg konsultacji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suppressAutoHyphens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§ 20</w:t>
      </w:r>
    </w:p>
    <w:p w:rsidR="00B33CFA" w:rsidRDefault="00B33CFA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sz w:val="24"/>
        </w:rPr>
      </w:pPr>
    </w:p>
    <w:p w:rsidR="00B33CFA" w:rsidRDefault="006A70B6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uwadze wnioski z analizy sprawozdań  z realizacji Rocznych Programów Współpracy Gminy Jednorożec z Organizacjami Pozarządowymi.</w:t>
      </w:r>
    </w:p>
    <w:p w:rsidR="00B33CFA" w:rsidRDefault="006A70B6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Organizacje pozarządowe zgłosiły propozycje priorytetowych zadań publicznych                              do Rocznego Programu </w:t>
      </w:r>
      <w:r>
        <w:rPr>
          <w:rFonts w:ascii="Calibri" w:eastAsia="Calibri" w:hAnsi="Calibri" w:cs="Calibri"/>
          <w:sz w:val="24"/>
        </w:rPr>
        <w:t>podczas spotkania informacyjnego pt. „Konsultacje Społeczne” przedstawicieli organizacji pozarządowych z przedstawicielami samorządu Gminy Jednorożec. Proponowane uwagi zostały uwzględnione w Rocznym Programie Współpracy Samorządu Gminy Jednorożec z organizacjami pozarządowymi.</w:t>
      </w:r>
    </w:p>
    <w:p w:rsidR="00B33CFA" w:rsidRDefault="006A70B6">
      <w:pPr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Projekt Rocznego Programu był przedmiotem konsultacji przeprowadzonych z Gminną Biblioteką Publiczną w Jednorożcu oraz przedstawicielami organizacji pozarządowych zgodnie z uchwałą </w:t>
      </w:r>
      <w:r>
        <w:rPr>
          <w:rFonts w:ascii="Calibri" w:eastAsia="Calibri" w:hAnsi="Calibri" w:cs="Calibri"/>
          <w:sz w:val="24"/>
        </w:rPr>
        <w:t xml:space="preserve">Nr VII/28/2011 Rady Gminy Jednorożec z dnia 30 marca 2011 r.                                w sprawie określenia szczegółowego sposobu konsultowania projektów aktów prawa miejscowego z organizacjami pozarządowymi i innymi podmiotami (Dz. Urz. Woj. </w:t>
      </w:r>
      <w:proofErr w:type="spellStart"/>
      <w:r>
        <w:rPr>
          <w:rFonts w:ascii="Calibri" w:eastAsia="Calibri" w:hAnsi="Calibri" w:cs="Calibri"/>
          <w:sz w:val="24"/>
        </w:rPr>
        <w:t>Maz</w:t>
      </w:r>
      <w:proofErr w:type="spellEnd"/>
      <w:r>
        <w:rPr>
          <w:rFonts w:ascii="Calibri" w:eastAsia="Calibri" w:hAnsi="Calibri" w:cs="Calibri"/>
          <w:sz w:val="24"/>
        </w:rPr>
        <w:t>.          z 2011 Nr 60 poz.1958 ).</w:t>
      </w:r>
    </w:p>
    <w:p w:rsidR="00B33CFA" w:rsidRDefault="006A70B6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Sprawozdanie, o którym mowa w § 14 ust. 3 niniejszej uchwały, oraz uwagi zgłoszone względem realizacji Rocznego Programu będą stanowiły wskazówki dla tworzenia kolejnych programów współpracy Gminy Jednorożec z organizacjami pozarządowymi.</w:t>
      </w:r>
    </w:p>
    <w:sectPr w:rsidR="00B3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312FB0"/>
    <w:multiLevelType w:val="multilevel"/>
    <w:tmpl w:val="7AEADF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018A9"/>
    <w:multiLevelType w:val="multilevel"/>
    <w:tmpl w:val="A18C13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F32170"/>
    <w:multiLevelType w:val="multilevel"/>
    <w:tmpl w:val="E634E3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E149F8"/>
    <w:multiLevelType w:val="multilevel"/>
    <w:tmpl w:val="CBFC021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7411B"/>
    <w:multiLevelType w:val="multilevel"/>
    <w:tmpl w:val="DAF475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097E8E"/>
    <w:multiLevelType w:val="multilevel"/>
    <w:tmpl w:val="DB74B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530B14"/>
    <w:multiLevelType w:val="multilevel"/>
    <w:tmpl w:val="3DBCBA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BD030E"/>
    <w:multiLevelType w:val="multilevel"/>
    <w:tmpl w:val="9A60CD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1"/>
  </w:num>
  <w:num w:numId="7">
    <w:abstractNumId w:val="13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  <w:num w:numId="14">
    <w:abstractNumId w:val="1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CFA"/>
    <w:rsid w:val="00473EAF"/>
    <w:rsid w:val="006A70B6"/>
    <w:rsid w:val="009B68BB"/>
    <w:rsid w:val="00A73064"/>
    <w:rsid w:val="00B25FF1"/>
    <w:rsid w:val="00B33CFA"/>
    <w:rsid w:val="00BD50EB"/>
    <w:rsid w:val="00C33B19"/>
    <w:rsid w:val="00EE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CFBA"/>
  <w15:docId w15:val="{E5F13EC7-B918-4699-8CAC-74B514CA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dnorozec.pl/" TargetMode="External"/><Relationship Id="rId5" Type="http://schemas.openxmlformats.org/officeDocument/2006/relationships/hyperlink" Target="http://www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3099</Words>
  <Characters>18594</Characters>
  <Application>Microsoft Office Word</Application>
  <DocSecurity>0</DocSecurity>
  <Lines>154</Lines>
  <Paragraphs>43</Paragraphs>
  <ScaleCrop>false</ScaleCrop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Barłożek</cp:lastModifiedBy>
  <cp:revision>10</cp:revision>
  <cp:lastPrinted>2020-11-30T12:24:00Z</cp:lastPrinted>
  <dcterms:created xsi:type="dcterms:W3CDTF">2020-11-25T07:28:00Z</dcterms:created>
  <dcterms:modified xsi:type="dcterms:W3CDTF">2020-11-30T12:24:00Z</dcterms:modified>
</cp:coreProperties>
</file>