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977BF8">
        <w:rPr>
          <w:rFonts w:cstheme="minorHAnsi"/>
          <w:b/>
          <w:sz w:val="24"/>
          <w:szCs w:val="24"/>
        </w:rPr>
        <w:t>Pzp</w:t>
      </w:r>
      <w:proofErr w:type="spellEnd"/>
      <w:r w:rsidRPr="00977BF8">
        <w:rPr>
          <w:rFonts w:cstheme="minorHAnsi"/>
          <w:b/>
          <w:sz w:val="24"/>
          <w:szCs w:val="24"/>
        </w:rPr>
        <w:t>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03356E56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977BF8" w:rsidRPr="00977BF8">
        <w:rPr>
          <w:rFonts w:cstheme="minorHAnsi"/>
          <w:sz w:val="24"/>
          <w:szCs w:val="24"/>
        </w:rPr>
        <w:t xml:space="preserve">„Przebudowa drogi dojazdowej do gruntów rolnych w miejscowości Jednorożec i Drążdżewo Nowe”,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 xml:space="preserve">1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 xml:space="preserve">nie podlega wykluczeniu z postępowania na podstawie art.109 ust.1 pkt 4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33</cp:revision>
  <dcterms:created xsi:type="dcterms:W3CDTF">2016-12-30T11:13:00Z</dcterms:created>
  <dcterms:modified xsi:type="dcterms:W3CDTF">2021-06-07T21:53:00Z</dcterms:modified>
</cp:coreProperties>
</file>