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59AE" w14:textId="77777777" w:rsidR="007F0521" w:rsidRDefault="007F0521" w:rsidP="007F0521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SOK.0007.35.2022 Rady Gminy Jednorożec</w:t>
      </w:r>
      <w:r>
        <w:rPr>
          <w:rFonts w:ascii="Calibri" w:hAnsi="Calibri" w:cs="Calibri"/>
          <w:b/>
          <w:bCs/>
        </w:rPr>
        <w:br/>
        <w:t>z dnia 26 lipca 2022 roku</w:t>
      </w:r>
      <w:r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2031</w:t>
      </w:r>
    </w:p>
    <w:p w14:paraId="58E91FF5" w14:textId="77777777" w:rsidR="007F0521" w:rsidRDefault="007F0521" w:rsidP="007F0521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027BD93E" w14:textId="77777777" w:rsidR="007F0521" w:rsidRDefault="007F0521" w:rsidP="007F0521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2021, poz. 305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6449CDD4" w14:textId="77777777" w:rsidR="007F0521" w:rsidRDefault="007F0521" w:rsidP="007F0521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2022-2031 wprowadza się następujące zmiany:</w:t>
      </w:r>
    </w:p>
    <w:p w14:paraId="7E6A2198" w14:textId="77777777" w:rsidR="007F0521" w:rsidRDefault="007F0521" w:rsidP="007F0521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2022–2031 otrzymuje brzmienie jak w załączniku Nr 1 do niniejszej uchwały.</w:t>
      </w:r>
    </w:p>
    <w:p w14:paraId="4897C46C" w14:textId="77777777" w:rsidR="007F0521" w:rsidRDefault="007F0521" w:rsidP="007F0521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Załącznik Nr 2 "Wykaz przedsięwzięć do Wieloletniej Prognozy Finansowej Gminy Jednorożec realizowanych w latach 2022–2025" otrzymuje brzmienie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015734FC" w14:textId="77777777" w:rsidR="007F0521" w:rsidRDefault="007F0521" w:rsidP="007F0521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2022-2031.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998618C" w14:textId="77777777" w:rsidR="007F0521" w:rsidRDefault="007F0521" w:rsidP="007F0521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35E2DB9A" w14:textId="77777777" w:rsidR="007F0521" w:rsidRDefault="007F0521" w:rsidP="007F0521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B0F7A93" w14:textId="77777777" w:rsidR="007F0521" w:rsidRDefault="007F0521" w:rsidP="007F0521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7BDE3077" w14:textId="77777777" w:rsidR="007F0521" w:rsidRDefault="007F0521" w:rsidP="007F0521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15F647FC" w14:textId="77777777" w:rsidR="007F0521" w:rsidRDefault="007F0521" w:rsidP="007F0521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243440AD" w14:textId="70E4BF35" w:rsidR="007F0521" w:rsidRDefault="007F0521" w:rsidP="007F0521">
      <w:pPr>
        <w:pStyle w:val="Normal"/>
        <w:rPr>
          <w:rFonts w:ascii="Calibri" w:hAnsi="Calibri" w:cs="Calibri"/>
        </w:rPr>
      </w:pPr>
    </w:p>
    <w:p w14:paraId="128849AB" w14:textId="117EF0E0" w:rsidR="00CF5CB3" w:rsidRDefault="00CF5CB3" w:rsidP="007F0521">
      <w:pPr>
        <w:pStyle w:val="Normal"/>
        <w:rPr>
          <w:rFonts w:ascii="Calibri" w:hAnsi="Calibri" w:cs="Calibri"/>
        </w:rPr>
      </w:pPr>
    </w:p>
    <w:p w14:paraId="4DEB8D5A" w14:textId="609A9693" w:rsidR="00CF5CB3" w:rsidRDefault="00CF5CB3" w:rsidP="007F0521">
      <w:pPr>
        <w:pStyle w:val="Normal"/>
        <w:rPr>
          <w:rFonts w:ascii="Calibri" w:hAnsi="Calibri" w:cs="Calibri"/>
        </w:rPr>
      </w:pPr>
    </w:p>
    <w:p w14:paraId="258F8049" w14:textId="0D39462A" w:rsidR="00CF5CB3" w:rsidRDefault="00CF5CB3" w:rsidP="007F0521">
      <w:pPr>
        <w:pStyle w:val="Normal"/>
        <w:rPr>
          <w:rFonts w:ascii="Calibri" w:hAnsi="Calibri" w:cs="Calibri"/>
        </w:rPr>
      </w:pPr>
    </w:p>
    <w:p w14:paraId="69458455" w14:textId="2AF2B13C" w:rsidR="00CF5CB3" w:rsidRDefault="00CF5CB3" w:rsidP="007F0521">
      <w:pPr>
        <w:pStyle w:val="Normal"/>
        <w:rPr>
          <w:rFonts w:ascii="Calibri" w:hAnsi="Calibri" w:cs="Calibri"/>
        </w:rPr>
      </w:pPr>
    </w:p>
    <w:p w14:paraId="3B86040B" w14:textId="1F55EB25" w:rsidR="00CF5CB3" w:rsidRDefault="00CF5CB3" w:rsidP="007F0521">
      <w:pPr>
        <w:pStyle w:val="Normal"/>
        <w:rPr>
          <w:rFonts w:ascii="Calibri" w:hAnsi="Calibri" w:cs="Calibri"/>
        </w:rPr>
      </w:pPr>
    </w:p>
    <w:p w14:paraId="3E2AB96B" w14:textId="08180296" w:rsidR="00CF5CB3" w:rsidRDefault="00CF5CB3" w:rsidP="007F0521">
      <w:pPr>
        <w:pStyle w:val="Normal"/>
        <w:rPr>
          <w:rFonts w:ascii="Calibri" w:hAnsi="Calibri" w:cs="Calibri"/>
        </w:rPr>
      </w:pPr>
    </w:p>
    <w:p w14:paraId="1C27D743" w14:textId="3F79E39B" w:rsidR="00CF5CB3" w:rsidRDefault="00CF5CB3" w:rsidP="007F0521">
      <w:pPr>
        <w:pStyle w:val="Normal"/>
        <w:rPr>
          <w:rFonts w:ascii="Calibri" w:hAnsi="Calibri" w:cs="Calibri"/>
        </w:rPr>
      </w:pPr>
    </w:p>
    <w:p w14:paraId="421D88FA" w14:textId="021CA63B" w:rsidR="00CF5CB3" w:rsidRDefault="00CF5CB3" w:rsidP="007F0521">
      <w:pPr>
        <w:pStyle w:val="Normal"/>
        <w:rPr>
          <w:rFonts w:ascii="Calibri" w:hAnsi="Calibri" w:cs="Calibri"/>
        </w:rPr>
      </w:pPr>
    </w:p>
    <w:p w14:paraId="2021DCE2" w14:textId="4E238D77" w:rsidR="00CF5CB3" w:rsidRDefault="00CF5CB3" w:rsidP="007F0521">
      <w:pPr>
        <w:pStyle w:val="Normal"/>
        <w:rPr>
          <w:rFonts w:ascii="Calibri" w:hAnsi="Calibri" w:cs="Calibri"/>
        </w:rPr>
      </w:pPr>
    </w:p>
    <w:p w14:paraId="6262C820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02A45423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53C7464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2B4A0A95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44.405.979,50 zł</w:t>
      </w:r>
      <w:r w:rsidRPr="00CF5CB3">
        <w:rPr>
          <w:rFonts w:ascii="Calibri" w:hAnsi="Calibri" w:cs="Calibri"/>
          <w:color w:val="000000"/>
          <w:sz w:val="24"/>
          <w:szCs w:val="24"/>
        </w:rPr>
        <w:t>, w tym:</w:t>
      </w:r>
    </w:p>
    <w:p w14:paraId="5284B00C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color w:val="000000"/>
          <w:sz w:val="24"/>
          <w:szCs w:val="24"/>
        </w:rPr>
        <w:t>- dochody bieżące – 37.196.759,62 zł;</w:t>
      </w:r>
    </w:p>
    <w:p w14:paraId="4762A5DC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color w:val="000000"/>
          <w:sz w:val="24"/>
          <w:szCs w:val="24"/>
        </w:rPr>
        <w:t xml:space="preserve"> - dochody majątkowe - 7.209.219,88 zł.</w:t>
      </w:r>
    </w:p>
    <w:p w14:paraId="2E81B92C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47.728.470,30 zł,</w:t>
      </w:r>
      <w:r w:rsidRPr="00CF5CB3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41A99511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color w:val="000000"/>
          <w:sz w:val="24"/>
          <w:szCs w:val="24"/>
        </w:rPr>
        <w:t>- wydatki bieżące - 37.113.238,81 zł;</w:t>
      </w:r>
    </w:p>
    <w:p w14:paraId="21C87CFA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color w:val="000000"/>
          <w:sz w:val="24"/>
          <w:szCs w:val="24"/>
        </w:rPr>
        <w:t>- wydatki majątkowe - 10.615.231,49 zł.</w:t>
      </w:r>
    </w:p>
    <w:p w14:paraId="236F4775" w14:textId="77777777" w:rsidR="00CF5CB3" w:rsidRPr="00CF5CB3" w:rsidRDefault="00CF5CB3" w:rsidP="00CF5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>3. Przychody w kwocie 4.422.490,80 zł</w:t>
      </w:r>
      <w:r w:rsidRPr="00CF5CB3">
        <w:rPr>
          <w:rFonts w:ascii="Calibri" w:hAnsi="Calibri" w:cs="Calibri"/>
          <w:color w:val="000000"/>
          <w:sz w:val="24"/>
          <w:szCs w:val="24"/>
        </w:rPr>
        <w:t xml:space="preserve"> - 3.000.000,00 zł emisja obligacji komunalnych</w:t>
      </w:r>
      <w:r w:rsidRPr="00CF5CB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F5CB3">
        <w:rPr>
          <w:rFonts w:ascii="Calibri" w:hAnsi="Calibri" w:cs="Calibri"/>
          <w:color w:val="000000"/>
          <w:sz w:val="24"/>
          <w:szCs w:val="24"/>
        </w:rPr>
        <w:t>(planowany wykup 2028 rok - 700.000,00 zł, 2029 rok - 1.100.000,00 zł, 2030 rok - 1.200.000,00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1.001.775,95 zł wolne środki, o których mowa w art. 217 ust.2 pkt 6 ustawy.</w:t>
      </w:r>
    </w:p>
    <w:p w14:paraId="7F1515A9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CF5CB3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66ED0381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>5. Kwota długu - 9.000.000,00 zł</w:t>
      </w:r>
      <w:r w:rsidRPr="00CF5CB3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2DAC69AB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5,53 %, przy dopuszczalnej spłacie 21,54 %</w:t>
      </w:r>
      <w:r w:rsidRPr="00CF5C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5E9DFC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3.322.490,80 zł </w:t>
      </w:r>
      <w:r w:rsidRPr="00CF5CB3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1.900.000,00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</w:t>
      </w:r>
      <w:r w:rsidRPr="00CF5CB3">
        <w:rPr>
          <w:rFonts w:ascii="Calibri" w:hAnsi="Calibri" w:cs="Calibri"/>
          <w:color w:val="000000"/>
          <w:sz w:val="24"/>
          <w:szCs w:val="24"/>
        </w:rPr>
        <w:lastRenderedPageBreak/>
        <w:t>określonych w art.5 ust. 1 pkt 2 ustawy i dotacji na realizację programu, projektu lub zadania finansowanego z udziałem tych środków w kwocie 117.161,49 zł oraz z wolnych środków, o których mowa w art. 217 ust.2 pkt 6 ustawy w kwocie 1.001.775,95 zł.</w:t>
      </w:r>
    </w:p>
    <w:p w14:paraId="2ADFB6B9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19971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5CB3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181873C6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D1E1FBC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5CB3">
        <w:rPr>
          <w:rFonts w:ascii="Calibri" w:hAnsi="Calibri" w:cs="Calibri"/>
          <w:color w:val="000000"/>
          <w:sz w:val="24"/>
          <w:szCs w:val="24"/>
        </w:rPr>
        <w:t>I. WYDATKI MAJĄTKOWE</w:t>
      </w:r>
    </w:p>
    <w:p w14:paraId="07B460F8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F5CB3">
        <w:rPr>
          <w:rFonts w:ascii="Calibri" w:hAnsi="Calibri" w:cs="Calibri"/>
          <w:color w:val="000000"/>
          <w:sz w:val="24"/>
          <w:szCs w:val="24"/>
        </w:rPr>
        <w:t>-</w:t>
      </w:r>
      <w:r w:rsidRPr="00CF5CB3">
        <w:rPr>
          <w:rFonts w:ascii="Calibri" w:hAnsi="Calibri" w:cs="Calibri"/>
          <w:b/>
          <w:bCs/>
          <w:sz w:val="24"/>
          <w:szCs w:val="24"/>
        </w:rPr>
        <w:t>„Rozbudowa oświetlenia ulicznego na terenie Gminy Jednorożec”</w:t>
      </w:r>
      <w:r w:rsidRPr="00CF5CB3">
        <w:rPr>
          <w:rFonts w:ascii="Calibri" w:hAnsi="Calibri" w:cs="Calibri"/>
          <w:sz w:val="24"/>
          <w:szCs w:val="24"/>
        </w:rPr>
        <w:t xml:space="preserve"> - zwiększa się łączne nakłady i limit wydatków na 2022 rok w kwocie 71.700,00 zł</w:t>
      </w:r>
    </w:p>
    <w:p w14:paraId="2DF8AC56" w14:textId="77777777" w:rsidR="00CF5CB3" w:rsidRPr="00CF5CB3" w:rsidRDefault="00CF5CB3" w:rsidP="00CF5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F5CB3">
        <w:rPr>
          <w:rFonts w:ascii="Calibri" w:hAnsi="Calibri" w:cs="Calibri"/>
          <w:sz w:val="24"/>
          <w:szCs w:val="24"/>
        </w:rPr>
        <w:t xml:space="preserve">- </w:t>
      </w:r>
      <w:r w:rsidRPr="00CF5CB3">
        <w:rPr>
          <w:rFonts w:ascii="Calibri" w:hAnsi="Calibri" w:cs="Calibri"/>
          <w:b/>
          <w:bCs/>
          <w:sz w:val="24"/>
          <w:szCs w:val="24"/>
        </w:rPr>
        <w:t>„Zwiększenie dostępności dzieci i młodzieży do przyszkolnej infrastruktury sportowej poprzez przebudowę i remont boisk przy szkołach podstawowych w gminie Jednorożec”</w:t>
      </w:r>
      <w:r w:rsidRPr="00CF5CB3">
        <w:rPr>
          <w:rFonts w:ascii="Calibri" w:hAnsi="Calibri" w:cs="Calibri"/>
          <w:sz w:val="24"/>
          <w:szCs w:val="24"/>
        </w:rPr>
        <w:t xml:space="preserve"> - zwiększa się łączne nakłady i limit wydatków na 2022 rok w kwocie 90.600,00 zł.</w:t>
      </w:r>
    </w:p>
    <w:p w14:paraId="37F83975" w14:textId="77777777" w:rsidR="00CF5CB3" w:rsidRPr="00CF5CB3" w:rsidRDefault="00CF5CB3" w:rsidP="00CF5C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4F6E406" w14:textId="77777777" w:rsidR="00CF5CB3" w:rsidRDefault="00CF5CB3" w:rsidP="007F0521">
      <w:pPr>
        <w:pStyle w:val="Normal"/>
        <w:rPr>
          <w:rFonts w:ascii="Calibri" w:hAnsi="Calibri" w:cs="Calibri"/>
        </w:rPr>
      </w:pPr>
    </w:p>
    <w:p w14:paraId="5DC81CD5" w14:textId="77777777" w:rsidR="00996574" w:rsidRDefault="00996574"/>
    <w:sectPr w:rsidR="00996574" w:rsidSect="002F269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4E"/>
    <w:rsid w:val="0006624E"/>
    <w:rsid w:val="007F0521"/>
    <w:rsid w:val="00996574"/>
    <w:rsid w:val="00C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AD6"/>
  <w15:chartTrackingRefBased/>
  <w15:docId w15:val="{6FAB8CA1-776D-4AB7-905D-8956421A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F05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7F0521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7F0521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7F0521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CF5CB3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2022-07-27T07:06:00Z</dcterms:created>
  <dcterms:modified xsi:type="dcterms:W3CDTF">2022-07-27T07:08:00Z</dcterms:modified>
</cp:coreProperties>
</file>