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090D8" w14:textId="77777777" w:rsidR="006E53C6" w:rsidRDefault="006E53C6" w:rsidP="006E53C6">
      <w:pPr>
        <w:autoSpaceDE w:val="0"/>
        <w:autoSpaceDN w:val="0"/>
        <w:adjustRightInd w:val="0"/>
        <w:spacing w:after="0" w:line="240" w:lineRule="auto"/>
        <w:jc w:val="center"/>
        <w:rPr>
          <w:rFonts w:cs="Times New Roman"/>
          <w:b/>
          <w:bCs/>
          <w:sz w:val="24"/>
          <w:szCs w:val="24"/>
        </w:rPr>
      </w:pPr>
    </w:p>
    <w:p w14:paraId="2701937A" w14:textId="7E5AF9CB" w:rsidR="006E53C6" w:rsidRDefault="006E53C6" w:rsidP="006E53C6">
      <w:pPr>
        <w:autoSpaceDE w:val="0"/>
        <w:autoSpaceDN w:val="0"/>
        <w:adjustRightInd w:val="0"/>
        <w:spacing w:after="0" w:line="240" w:lineRule="auto"/>
        <w:jc w:val="center"/>
        <w:rPr>
          <w:rFonts w:cs="Times New Roman"/>
          <w:b/>
          <w:bCs/>
          <w:sz w:val="24"/>
          <w:szCs w:val="24"/>
        </w:rPr>
      </w:pPr>
      <w:r>
        <w:rPr>
          <w:rFonts w:cs="Times New Roman"/>
          <w:b/>
          <w:bCs/>
          <w:sz w:val="24"/>
          <w:szCs w:val="24"/>
        </w:rPr>
        <w:t>Zarządzenie Nr 9</w:t>
      </w:r>
      <w:r w:rsidR="007913CC">
        <w:rPr>
          <w:rFonts w:cs="Times New Roman"/>
          <w:b/>
          <w:bCs/>
          <w:sz w:val="24"/>
          <w:szCs w:val="24"/>
        </w:rPr>
        <w:t>6</w:t>
      </w:r>
      <w:r>
        <w:rPr>
          <w:rFonts w:cs="Times New Roman"/>
          <w:b/>
          <w:bCs/>
          <w:sz w:val="24"/>
          <w:szCs w:val="24"/>
        </w:rPr>
        <w:t>/2023</w:t>
      </w:r>
    </w:p>
    <w:p w14:paraId="028368A5" w14:textId="77777777" w:rsidR="006E53C6" w:rsidRPr="006A4748" w:rsidRDefault="006E53C6" w:rsidP="006E53C6">
      <w:pPr>
        <w:autoSpaceDE w:val="0"/>
        <w:autoSpaceDN w:val="0"/>
        <w:adjustRightInd w:val="0"/>
        <w:spacing w:after="0" w:line="240" w:lineRule="auto"/>
        <w:jc w:val="center"/>
        <w:rPr>
          <w:rFonts w:cs="Times New Roman"/>
          <w:b/>
          <w:bCs/>
          <w:sz w:val="24"/>
          <w:szCs w:val="24"/>
        </w:rPr>
      </w:pPr>
      <w:r w:rsidRPr="006A4748">
        <w:rPr>
          <w:rFonts w:cs="Times New Roman"/>
          <w:b/>
          <w:bCs/>
          <w:sz w:val="24"/>
          <w:szCs w:val="24"/>
        </w:rPr>
        <w:t>Wójta Gminy Jednorożec</w:t>
      </w:r>
    </w:p>
    <w:p w14:paraId="065233B3" w14:textId="30B3C57C" w:rsidR="006E53C6" w:rsidRPr="006A4748" w:rsidRDefault="006E53C6" w:rsidP="006E53C6">
      <w:pPr>
        <w:autoSpaceDE w:val="0"/>
        <w:autoSpaceDN w:val="0"/>
        <w:adjustRightInd w:val="0"/>
        <w:spacing w:after="0" w:line="240" w:lineRule="auto"/>
        <w:jc w:val="center"/>
        <w:rPr>
          <w:rFonts w:cs="Times New Roman"/>
          <w:b/>
          <w:bCs/>
          <w:sz w:val="24"/>
          <w:szCs w:val="24"/>
        </w:rPr>
      </w:pPr>
      <w:r w:rsidRPr="006A4748">
        <w:rPr>
          <w:rFonts w:cs="Times New Roman"/>
          <w:b/>
          <w:bCs/>
          <w:sz w:val="24"/>
          <w:szCs w:val="24"/>
        </w:rPr>
        <w:t xml:space="preserve">z dnia </w:t>
      </w:r>
      <w:r w:rsidR="007913CC" w:rsidRPr="006A4748">
        <w:rPr>
          <w:rFonts w:cs="Times New Roman"/>
          <w:b/>
          <w:bCs/>
          <w:sz w:val="24"/>
          <w:szCs w:val="24"/>
        </w:rPr>
        <w:t>1</w:t>
      </w:r>
      <w:r w:rsidR="00055541">
        <w:rPr>
          <w:rFonts w:cs="Times New Roman"/>
          <w:b/>
          <w:bCs/>
          <w:sz w:val="24"/>
          <w:szCs w:val="24"/>
        </w:rPr>
        <w:t>4</w:t>
      </w:r>
      <w:r w:rsidR="006A4748" w:rsidRPr="006A4748">
        <w:rPr>
          <w:rFonts w:cs="Times New Roman"/>
          <w:b/>
          <w:bCs/>
          <w:sz w:val="24"/>
          <w:szCs w:val="24"/>
        </w:rPr>
        <w:t xml:space="preserve"> </w:t>
      </w:r>
      <w:r w:rsidRPr="006A4748">
        <w:rPr>
          <w:rFonts w:cs="Times New Roman"/>
          <w:b/>
          <w:bCs/>
          <w:sz w:val="24"/>
          <w:szCs w:val="24"/>
        </w:rPr>
        <w:t>września 2023 r.</w:t>
      </w:r>
    </w:p>
    <w:p w14:paraId="1A95FE86" w14:textId="77777777" w:rsidR="006E53C6" w:rsidRDefault="006E53C6" w:rsidP="006E53C6">
      <w:pPr>
        <w:autoSpaceDE w:val="0"/>
        <w:autoSpaceDN w:val="0"/>
        <w:adjustRightInd w:val="0"/>
        <w:spacing w:after="0" w:line="240" w:lineRule="auto"/>
        <w:jc w:val="center"/>
        <w:rPr>
          <w:rFonts w:cs="Times New Roman"/>
          <w:b/>
          <w:bCs/>
          <w:sz w:val="24"/>
          <w:szCs w:val="24"/>
        </w:rPr>
      </w:pPr>
    </w:p>
    <w:p w14:paraId="07521066" w14:textId="77777777" w:rsidR="006E53C6" w:rsidRDefault="006E53C6" w:rsidP="006E53C6">
      <w:pPr>
        <w:autoSpaceDE w:val="0"/>
        <w:autoSpaceDN w:val="0"/>
        <w:adjustRightInd w:val="0"/>
        <w:spacing w:after="0" w:line="240" w:lineRule="auto"/>
        <w:jc w:val="center"/>
        <w:rPr>
          <w:rFonts w:cs="Times New Roman"/>
          <w:b/>
          <w:sz w:val="24"/>
          <w:szCs w:val="24"/>
        </w:rPr>
      </w:pPr>
      <w:r>
        <w:rPr>
          <w:rFonts w:cs="Times New Roman"/>
          <w:b/>
          <w:sz w:val="24"/>
          <w:szCs w:val="24"/>
        </w:rPr>
        <w:t>w sprawie zmian do Regulaminu Organizacyjnego Urzędu Gminy w Jednorożcu</w:t>
      </w:r>
    </w:p>
    <w:p w14:paraId="724BC659" w14:textId="77777777" w:rsidR="006E53C6" w:rsidRPr="004478FF" w:rsidRDefault="006E53C6" w:rsidP="006E53C6">
      <w:pPr>
        <w:autoSpaceDE w:val="0"/>
        <w:autoSpaceDN w:val="0"/>
        <w:adjustRightInd w:val="0"/>
        <w:spacing w:after="0" w:line="240" w:lineRule="auto"/>
        <w:jc w:val="both"/>
        <w:rPr>
          <w:rFonts w:cs="Times New Roman"/>
          <w:b/>
          <w:i/>
          <w:sz w:val="8"/>
          <w:szCs w:val="8"/>
        </w:rPr>
      </w:pPr>
    </w:p>
    <w:p w14:paraId="600529BF" w14:textId="77777777" w:rsidR="006E53C6" w:rsidRDefault="006E53C6" w:rsidP="006E53C6">
      <w:pPr>
        <w:autoSpaceDE w:val="0"/>
        <w:autoSpaceDN w:val="0"/>
        <w:adjustRightInd w:val="0"/>
        <w:spacing w:after="0" w:line="276" w:lineRule="auto"/>
        <w:ind w:firstLine="708"/>
        <w:jc w:val="both"/>
        <w:rPr>
          <w:rFonts w:cs="Times New Roman"/>
          <w:iCs/>
          <w:sz w:val="24"/>
          <w:szCs w:val="24"/>
        </w:rPr>
      </w:pPr>
    </w:p>
    <w:p w14:paraId="411F6BB7" w14:textId="31F8C799" w:rsidR="006E53C6" w:rsidRDefault="006E53C6" w:rsidP="006E53C6">
      <w:pPr>
        <w:autoSpaceDE w:val="0"/>
        <w:autoSpaceDN w:val="0"/>
        <w:adjustRightInd w:val="0"/>
        <w:spacing w:after="0" w:line="276" w:lineRule="auto"/>
        <w:ind w:firstLine="708"/>
        <w:jc w:val="both"/>
        <w:rPr>
          <w:rFonts w:cs="Times New Roman"/>
          <w:iCs/>
          <w:sz w:val="24"/>
          <w:szCs w:val="24"/>
        </w:rPr>
      </w:pPr>
      <w:r>
        <w:rPr>
          <w:rFonts w:cs="Times New Roman"/>
          <w:iCs/>
          <w:sz w:val="24"/>
          <w:szCs w:val="24"/>
        </w:rPr>
        <w:t>Na podstawie art. 33 ust. 2 ustawy z dnia 8 marca 1990 r. o samorządzie gminnym (Dz.U. z 2023 r. poz. 40 z późn. zm.) zarządza</w:t>
      </w:r>
      <w:r w:rsidR="00055541">
        <w:rPr>
          <w:rFonts w:cs="Times New Roman"/>
          <w:iCs/>
          <w:sz w:val="24"/>
          <w:szCs w:val="24"/>
        </w:rPr>
        <w:t>m</w:t>
      </w:r>
      <w:r>
        <w:rPr>
          <w:rFonts w:cs="Times New Roman"/>
          <w:iCs/>
          <w:sz w:val="24"/>
          <w:szCs w:val="24"/>
        </w:rPr>
        <w:t>, co następuje:</w:t>
      </w:r>
    </w:p>
    <w:p w14:paraId="6D741176" w14:textId="77777777" w:rsidR="006E53C6" w:rsidRPr="00303E23" w:rsidRDefault="006E53C6" w:rsidP="006E53C6">
      <w:pPr>
        <w:autoSpaceDE w:val="0"/>
        <w:autoSpaceDN w:val="0"/>
        <w:adjustRightInd w:val="0"/>
        <w:spacing w:after="0" w:line="276" w:lineRule="auto"/>
        <w:jc w:val="both"/>
        <w:rPr>
          <w:rFonts w:cs="Times New Roman"/>
          <w:iCs/>
          <w:sz w:val="10"/>
          <w:szCs w:val="10"/>
        </w:rPr>
      </w:pPr>
    </w:p>
    <w:p w14:paraId="56702399" w14:textId="19CB374B" w:rsidR="00F5070A" w:rsidRPr="00F5070A" w:rsidRDefault="006E53C6" w:rsidP="00F5070A">
      <w:pPr>
        <w:spacing w:after="0" w:line="276" w:lineRule="auto"/>
        <w:jc w:val="both"/>
        <w:rPr>
          <w:rFonts w:cs="Times New Roman"/>
          <w:bCs/>
          <w:sz w:val="24"/>
          <w:szCs w:val="24"/>
        </w:rPr>
      </w:pPr>
      <w:r>
        <w:rPr>
          <w:rFonts w:cs="Times New Roman"/>
          <w:bCs/>
          <w:sz w:val="24"/>
          <w:szCs w:val="24"/>
        </w:rPr>
        <w:t xml:space="preserve">§ 1. W Regulaminie Organizacyjnym Urzędu Gminy w Jednorożcu stanowiącym załącznik </w:t>
      </w:r>
      <w:r>
        <w:rPr>
          <w:rFonts w:cs="Times New Roman"/>
          <w:bCs/>
          <w:sz w:val="24"/>
          <w:szCs w:val="24"/>
        </w:rPr>
        <w:br/>
        <w:t>do z</w:t>
      </w:r>
      <w:r>
        <w:rPr>
          <w:rFonts w:cs="Times New Roman"/>
          <w:sz w:val="24"/>
          <w:szCs w:val="24"/>
        </w:rPr>
        <w:t xml:space="preserve">arządzenie Nr 123/2021 Wójta Gminy Jednorożec z dnia 30 grudnia 2021 r. (zmienionego zarządzeniami: nr 100/2022 z dnia 12.09.2022 r., nr 61/2023 r. z dnia 15.06.2023 r.) </w:t>
      </w:r>
      <w:r>
        <w:rPr>
          <w:rFonts w:cs="Times New Roman"/>
          <w:bCs/>
          <w:sz w:val="24"/>
          <w:szCs w:val="24"/>
        </w:rPr>
        <w:t>wprowadza</w:t>
      </w:r>
      <w:r w:rsidR="00055541">
        <w:rPr>
          <w:rFonts w:cs="Times New Roman"/>
          <w:bCs/>
          <w:sz w:val="24"/>
          <w:szCs w:val="24"/>
        </w:rPr>
        <w:t>m</w:t>
      </w:r>
      <w:r>
        <w:rPr>
          <w:rFonts w:cs="Times New Roman"/>
          <w:bCs/>
          <w:sz w:val="24"/>
          <w:szCs w:val="24"/>
        </w:rPr>
        <w:t xml:space="preserve"> następujące zmiany:</w:t>
      </w:r>
    </w:p>
    <w:p w14:paraId="38941094" w14:textId="2E01EA24" w:rsidR="00983B26" w:rsidRDefault="00595355" w:rsidP="00983B26">
      <w:pPr>
        <w:pStyle w:val="Akapitzlist"/>
        <w:numPr>
          <w:ilvl w:val="0"/>
          <w:numId w:val="6"/>
        </w:numPr>
        <w:spacing w:after="0" w:line="276" w:lineRule="auto"/>
        <w:ind w:left="426" w:hanging="426"/>
        <w:jc w:val="both"/>
        <w:rPr>
          <w:rFonts w:cs="Times New Roman"/>
          <w:sz w:val="24"/>
          <w:szCs w:val="24"/>
        </w:rPr>
      </w:pPr>
      <w:r>
        <w:rPr>
          <w:rFonts w:eastAsia="Arial" w:cs="Times New Roman"/>
        </w:rPr>
        <w:t>w</w:t>
      </w:r>
      <w:r w:rsidR="00983B26" w:rsidRPr="00A35CB2">
        <w:rPr>
          <w:rFonts w:eastAsia="Arial" w:cs="Times New Roman"/>
        </w:rPr>
        <w:t xml:space="preserve"> </w:t>
      </w:r>
      <w:r w:rsidR="00983B26" w:rsidRPr="00A35CB2">
        <w:rPr>
          <w:rFonts w:cs="Times New Roman"/>
          <w:sz w:val="24"/>
          <w:szCs w:val="24"/>
        </w:rPr>
        <w:t xml:space="preserve">§ </w:t>
      </w:r>
      <w:r w:rsidR="00983B26">
        <w:rPr>
          <w:rFonts w:cs="Times New Roman"/>
          <w:sz w:val="24"/>
          <w:szCs w:val="24"/>
        </w:rPr>
        <w:t>2</w:t>
      </w:r>
      <w:r>
        <w:rPr>
          <w:rFonts w:cs="Times New Roman"/>
          <w:sz w:val="24"/>
          <w:szCs w:val="24"/>
        </w:rPr>
        <w:t>2</w:t>
      </w:r>
      <w:r w:rsidR="00983B26" w:rsidRPr="00A35CB2">
        <w:rPr>
          <w:rFonts w:cs="Times New Roman"/>
          <w:sz w:val="24"/>
          <w:szCs w:val="24"/>
        </w:rPr>
        <w:t xml:space="preserve"> ust. </w:t>
      </w:r>
      <w:r w:rsidR="00983B26">
        <w:rPr>
          <w:rFonts w:cs="Times New Roman"/>
          <w:sz w:val="24"/>
          <w:szCs w:val="24"/>
        </w:rPr>
        <w:t>2 dodaje się pkt 24 w brzmieniu:</w:t>
      </w:r>
    </w:p>
    <w:p w14:paraId="234CD775" w14:textId="22B7A4B9" w:rsidR="00983B26" w:rsidRPr="00C4502C" w:rsidRDefault="00595355" w:rsidP="00595355">
      <w:pPr>
        <w:spacing w:after="0" w:line="276" w:lineRule="auto"/>
        <w:ind w:left="426"/>
        <w:jc w:val="both"/>
        <w:rPr>
          <w:rFonts w:cstheme="minorHAnsi"/>
          <w:sz w:val="24"/>
          <w:szCs w:val="24"/>
        </w:rPr>
      </w:pPr>
      <w:r w:rsidRPr="00595355">
        <w:rPr>
          <w:rFonts w:cstheme="minorHAnsi"/>
          <w:sz w:val="24"/>
          <w:szCs w:val="24"/>
        </w:rPr>
        <w:t xml:space="preserve">„24) </w:t>
      </w:r>
      <w:r w:rsidR="00983B26" w:rsidRPr="00595355">
        <w:rPr>
          <w:rFonts w:cstheme="minorHAnsi"/>
          <w:sz w:val="24"/>
          <w:szCs w:val="24"/>
        </w:rPr>
        <w:t xml:space="preserve">prowadzenie dokumentacji z przyjmowanych ustnych oświadczeń woli </w:t>
      </w:r>
      <w:r w:rsidR="00983B26" w:rsidRPr="00C4502C">
        <w:rPr>
          <w:rFonts w:cstheme="minorHAnsi"/>
          <w:sz w:val="24"/>
          <w:szCs w:val="24"/>
        </w:rPr>
        <w:t>spadkodawcy.</w:t>
      </w:r>
      <w:r w:rsidRPr="00C4502C">
        <w:rPr>
          <w:rFonts w:cstheme="minorHAnsi"/>
          <w:sz w:val="24"/>
          <w:szCs w:val="24"/>
        </w:rPr>
        <w:t>”;</w:t>
      </w:r>
    </w:p>
    <w:p w14:paraId="50DDC74E" w14:textId="028ACF6F" w:rsidR="006E53C6" w:rsidRPr="00C4502C" w:rsidRDefault="00595355" w:rsidP="00595355">
      <w:pPr>
        <w:pStyle w:val="Akapitzlist"/>
        <w:numPr>
          <w:ilvl w:val="0"/>
          <w:numId w:val="6"/>
        </w:numPr>
        <w:spacing w:after="0" w:line="276" w:lineRule="auto"/>
        <w:ind w:left="426" w:hanging="426"/>
        <w:jc w:val="both"/>
        <w:rPr>
          <w:rFonts w:cs="Times New Roman"/>
          <w:sz w:val="24"/>
          <w:szCs w:val="24"/>
        </w:rPr>
      </w:pPr>
      <w:r w:rsidRPr="00C4502C">
        <w:rPr>
          <w:rFonts w:eastAsia="Arial" w:cs="Times New Roman"/>
        </w:rPr>
        <w:t>w</w:t>
      </w:r>
      <w:r w:rsidR="006E53C6" w:rsidRPr="00C4502C">
        <w:rPr>
          <w:rFonts w:eastAsia="Arial" w:cs="Times New Roman"/>
        </w:rPr>
        <w:t xml:space="preserve"> </w:t>
      </w:r>
      <w:r w:rsidR="006E53C6" w:rsidRPr="00C4502C">
        <w:rPr>
          <w:rFonts w:cs="Times New Roman"/>
          <w:sz w:val="24"/>
          <w:szCs w:val="24"/>
        </w:rPr>
        <w:t xml:space="preserve">§ </w:t>
      </w:r>
      <w:r w:rsidR="007913CC" w:rsidRPr="00C4502C">
        <w:rPr>
          <w:rFonts w:cs="Times New Roman"/>
          <w:sz w:val="24"/>
          <w:szCs w:val="24"/>
        </w:rPr>
        <w:t>26</w:t>
      </w:r>
      <w:r w:rsidR="006E53C6" w:rsidRPr="00C4502C">
        <w:rPr>
          <w:rFonts w:cs="Times New Roman"/>
          <w:sz w:val="24"/>
          <w:szCs w:val="24"/>
        </w:rPr>
        <w:t xml:space="preserve"> ust. </w:t>
      </w:r>
      <w:r w:rsidR="007913CC" w:rsidRPr="00C4502C">
        <w:rPr>
          <w:rFonts w:cs="Times New Roman"/>
          <w:sz w:val="24"/>
          <w:szCs w:val="24"/>
        </w:rPr>
        <w:t>2 dodaje się pkt 26</w:t>
      </w:r>
      <w:r w:rsidR="005536B6" w:rsidRPr="00C4502C">
        <w:rPr>
          <w:rFonts w:cs="Times New Roman"/>
          <w:sz w:val="24"/>
          <w:szCs w:val="24"/>
        </w:rPr>
        <w:t xml:space="preserve"> </w:t>
      </w:r>
      <w:r w:rsidRPr="00C4502C">
        <w:rPr>
          <w:rFonts w:cs="Times New Roman"/>
          <w:sz w:val="24"/>
          <w:szCs w:val="24"/>
        </w:rPr>
        <w:t xml:space="preserve">w </w:t>
      </w:r>
      <w:r w:rsidR="006E53C6" w:rsidRPr="00C4502C">
        <w:rPr>
          <w:rFonts w:cs="Times New Roman"/>
          <w:sz w:val="24"/>
          <w:szCs w:val="24"/>
        </w:rPr>
        <w:t>brzmieni</w:t>
      </w:r>
      <w:r w:rsidRPr="00C4502C">
        <w:rPr>
          <w:rFonts w:cs="Times New Roman"/>
          <w:sz w:val="24"/>
          <w:szCs w:val="24"/>
        </w:rPr>
        <w:t>u</w:t>
      </w:r>
      <w:r w:rsidR="006E53C6" w:rsidRPr="00C4502C">
        <w:rPr>
          <w:rFonts w:cs="Times New Roman"/>
          <w:sz w:val="24"/>
          <w:szCs w:val="24"/>
        </w:rPr>
        <w:t>:</w:t>
      </w:r>
    </w:p>
    <w:p w14:paraId="2D958E92" w14:textId="6C884C16" w:rsidR="006E53C6" w:rsidRPr="00C4502C" w:rsidRDefault="006E53C6" w:rsidP="007913CC">
      <w:pPr>
        <w:spacing w:after="0" w:line="276" w:lineRule="auto"/>
        <w:ind w:left="426"/>
        <w:jc w:val="both"/>
        <w:rPr>
          <w:rFonts w:cstheme="minorHAnsi"/>
          <w:sz w:val="24"/>
          <w:szCs w:val="24"/>
        </w:rPr>
      </w:pPr>
      <w:r w:rsidRPr="00C4502C">
        <w:rPr>
          <w:rFonts w:cstheme="minorHAnsi"/>
          <w:sz w:val="24"/>
          <w:szCs w:val="24"/>
        </w:rPr>
        <w:t>„</w:t>
      </w:r>
      <w:r w:rsidR="007913CC" w:rsidRPr="00C4502C">
        <w:rPr>
          <w:rFonts w:cstheme="minorHAnsi"/>
          <w:sz w:val="24"/>
          <w:szCs w:val="24"/>
        </w:rPr>
        <w:t>26</w:t>
      </w:r>
      <w:r w:rsidRPr="00C4502C">
        <w:rPr>
          <w:rFonts w:cstheme="minorHAnsi"/>
          <w:sz w:val="24"/>
          <w:szCs w:val="24"/>
        </w:rPr>
        <w:t xml:space="preserve">) </w:t>
      </w:r>
      <w:r w:rsidR="007913CC" w:rsidRPr="00C4502C">
        <w:rPr>
          <w:rFonts w:cstheme="minorHAnsi"/>
          <w:sz w:val="24"/>
          <w:szCs w:val="24"/>
        </w:rPr>
        <w:t>Prowadzenie Punktu Obsługi Inwestora:</w:t>
      </w:r>
    </w:p>
    <w:p w14:paraId="14B24AF7" w14:textId="5EDE9106" w:rsidR="006C4431" w:rsidRPr="00C4502C" w:rsidRDefault="006C4431" w:rsidP="006C4431">
      <w:pPr>
        <w:pStyle w:val="Akapitzlist"/>
        <w:numPr>
          <w:ilvl w:val="0"/>
          <w:numId w:val="7"/>
        </w:numPr>
        <w:spacing w:after="0" w:line="276" w:lineRule="auto"/>
        <w:jc w:val="both"/>
        <w:rPr>
          <w:rFonts w:cstheme="minorHAnsi"/>
          <w:sz w:val="24"/>
          <w:szCs w:val="24"/>
        </w:rPr>
      </w:pPr>
      <w:r w:rsidRPr="00C4502C">
        <w:rPr>
          <w:rFonts w:cstheme="minorHAnsi"/>
          <w:sz w:val="24"/>
          <w:szCs w:val="24"/>
        </w:rPr>
        <w:t>przygotowanie kompletnej oferty inwestycyjnej gminy</w:t>
      </w:r>
      <w:r>
        <w:rPr>
          <w:rFonts w:cstheme="minorHAnsi"/>
          <w:sz w:val="24"/>
          <w:szCs w:val="24"/>
        </w:rPr>
        <w:t xml:space="preserve"> oraz bieżąca aktualizacja danych i</w:t>
      </w:r>
      <w:r w:rsidRPr="00C4502C">
        <w:rPr>
          <w:rFonts w:cstheme="minorHAnsi"/>
          <w:sz w:val="24"/>
          <w:szCs w:val="24"/>
        </w:rPr>
        <w:t xml:space="preserve"> w tym zakresie przekazywanie danych do GZUK celem </w:t>
      </w:r>
      <w:r>
        <w:rPr>
          <w:rFonts w:cstheme="minorHAnsi"/>
          <w:sz w:val="24"/>
          <w:szCs w:val="24"/>
        </w:rPr>
        <w:t>z</w:t>
      </w:r>
      <w:r>
        <w:rPr>
          <w:rFonts w:cstheme="minorHAnsi"/>
          <w:sz w:val="24"/>
          <w:szCs w:val="24"/>
        </w:rPr>
        <w:t xml:space="preserve">amieszczenia/aktualizacji </w:t>
      </w:r>
      <w:r w:rsidRPr="00C4502C">
        <w:rPr>
          <w:rFonts w:cstheme="minorHAnsi"/>
          <w:sz w:val="24"/>
          <w:szCs w:val="24"/>
        </w:rPr>
        <w:t xml:space="preserve">oferty w </w:t>
      </w:r>
      <w:r w:rsidRPr="00C4502C">
        <w:rPr>
          <w:sz w:val="24"/>
          <w:szCs w:val="24"/>
        </w:rPr>
        <w:t>Bazie Polskiej Agencji Inwestycji i Handlu</w:t>
      </w:r>
      <w:r w:rsidRPr="00C4502C">
        <w:rPr>
          <w:rFonts w:cstheme="minorHAnsi"/>
          <w:sz w:val="24"/>
          <w:szCs w:val="24"/>
        </w:rPr>
        <w:t>,</w:t>
      </w:r>
    </w:p>
    <w:p w14:paraId="16F2934A" w14:textId="2BB36130" w:rsidR="006C4431" w:rsidRPr="00C4502C" w:rsidRDefault="006C4431" w:rsidP="006C4431">
      <w:pPr>
        <w:pStyle w:val="Akapitzlist"/>
        <w:numPr>
          <w:ilvl w:val="0"/>
          <w:numId w:val="7"/>
        </w:numPr>
        <w:spacing w:after="0" w:line="276" w:lineRule="auto"/>
        <w:jc w:val="both"/>
        <w:rPr>
          <w:rFonts w:cstheme="minorHAnsi"/>
          <w:sz w:val="24"/>
          <w:szCs w:val="24"/>
        </w:rPr>
      </w:pPr>
      <w:r w:rsidRPr="00C4502C">
        <w:rPr>
          <w:rFonts w:cstheme="minorHAnsi"/>
          <w:sz w:val="24"/>
          <w:szCs w:val="24"/>
        </w:rPr>
        <w:t>weryfikacja oferty inwestycyjnej pod kątem zgodności ze „Strategią Rozwoju Gminy Jednorożec”, w szczególności w zakresie ładu przestrzennego</w:t>
      </w:r>
      <w:r>
        <w:rPr>
          <w:rFonts w:cstheme="minorHAnsi"/>
          <w:sz w:val="24"/>
          <w:szCs w:val="24"/>
        </w:rPr>
        <w:t xml:space="preserve"> i gospodar</w:t>
      </w:r>
      <w:r w:rsidR="00C125D1">
        <w:rPr>
          <w:rFonts w:cstheme="minorHAnsi"/>
          <w:sz w:val="24"/>
          <w:szCs w:val="24"/>
        </w:rPr>
        <w:t>ki</w:t>
      </w:r>
      <w:r>
        <w:rPr>
          <w:rFonts w:cstheme="minorHAnsi"/>
          <w:sz w:val="24"/>
          <w:szCs w:val="24"/>
        </w:rPr>
        <w:t xml:space="preserve"> nieruchomościami</w:t>
      </w:r>
      <w:r w:rsidRPr="00C4502C">
        <w:rPr>
          <w:rFonts w:cstheme="minorHAnsi"/>
          <w:sz w:val="24"/>
          <w:szCs w:val="24"/>
        </w:rPr>
        <w:t>,</w:t>
      </w:r>
    </w:p>
    <w:p w14:paraId="050CDB8B" w14:textId="3E9B95C4" w:rsidR="00D455E2" w:rsidRPr="00C4502C" w:rsidRDefault="00D455E2" w:rsidP="00983B26">
      <w:pPr>
        <w:pStyle w:val="Akapitzlist"/>
        <w:numPr>
          <w:ilvl w:val="0"/>
          <w:numId w:val="7"/>
        </w:numPr>
        <w:spacing w:after="0" w:line="276" w:lineRule="auto"/>
        <w:jc w:val="both"/>
        <w:rPr>
          <w:rFonts w:cstheme="minorHAnsi"/>
          <w:sz w:val="24"/>
          <w:szCs w:val="24"/>
        </w:rPr>
      </w:pPr>
      <w:r w:rsidRPr="00C4502C">
        <w:rPr>
          <w:rFonts w:cstheme="minorHAnsi"/>
          <w:sz w:val="24"/>
          <w:szCs w:val="24"/>
        </w:rPr>
        <w:t>organizacja działań promujących ofertę inwestycyjna gminy,</w:t>
      </w:r>
    </w:p>
    <w:p w14:paraId="6C3B1E3A" w14:textId="67AC2734" w:rsidR="00D455E2" w:rsidRPr="00C4502C" w:rsidRDefault="00D455E2" w:rsidP="00983B26">
      <w:pPr>
        <w:pStyle w:val="Akapitzlist"/>
        <w:numPr>
          <w:ilvl w:val="0"/>
          <w:numId w:val="7"/>
        </w:numPr>
        <w:spacing w:after="0" w:line="276" w:lineRule="auto"/>
        <w:jc w:val="both"/>
        <w:rPr>
          <w:rFonts w:cstheme="minorHAnsi"/>
          <w:sz w:val="24"/>
          <w:szCs w:val="24"/>
        </w:rPr>
      </w:pPr>
      <w:r w:rsidRPr="00C4502C">
        <w:rPr>
          <w:rFonts w:cstheme="minorHAnsi"/>
          <w:sz w:val="24"/>
          <w:szCs w:val="24"/>
        </w:rPr>
        <w:t>udzielanie informacji przedsiębiorcom/inwestorom w tym prezentacja posiadanej przez gminę oferty inwestycyjnej,</w:t>
      </w:r>
    </w:p>
    <w:p w14:paraId="1E685765" w14:textId="14A808DB" w:rsidR="00D455E2" w:rsidRPr="00C4502C" w:rsidRDefault="00D455E2" w:rsidP="00983B26">
      <w:pPr>
        <w:pStyle w:val="Akapitzlist"/>
        <w:numPr>
          <w:ilvl w:val="0"/>
          <w:numId w:val="7"/>
        </w:numPr>
        <w:spacing w:after="0" w:line="276" w:lineRule="auto"/>
        <w:jc w:val="both"/>
        <w:rPr>
          <w:rFonts w:cstheme="minorHAnsi"/>
          <w:sz w:val="24"/>
          <w:szCs w:val="24"/>
        </w:rPr>
      </w:pPr>
      <w:r w:rsidRPr="00C4502C">
        <w:rPr>
          <w:rFonts w:cstheme="minorHAnsi"/>
          <w:sz w:val="24"/>
          <w:szCs w:val="24"/>
        </w:rPr>
        <w:t xml:space="preserve">organizowanie w razie potrzeby wizyt lokalnych inwestorów na terenie gminy </w:t>
      </w:r>
      <w:r w:rsidRPr="00C4502C">
        <w:rPr>
          <w:rFonts w:cstheme="minorHAnsi"/>
          <w:sz w:val="24"/>
          <w:szCs w:val="24"/>
        </w:rPr>
        <w:br/>
        <w:t>i współdziałanie z innymi podmiotami w tym zakresie,</w:t>
      </w:r>
    </w:p>
    <w:p w14:paraId="7E6DEC88" w14:textId="0D68641F" w:rsidR="00D455E2" w:rsidRPr="00C4502C" w:rsidRDefault="00D455E2" w:rsidP="00983B26">
      <w:pPr>
        <w:pStyle w:val="Akapitzlist"/>
        <w:numPr>
          <w:ilvl w:val="0"/>
          <w:numId w:val="7"/>
        </w:numPr>
        <w:spacing w:after="0" w:line="276" w:lineRule="auto"/>
        <w:jc w:val="both"/>
        <w:rPr>
          <w:rFonts w:cstheme="minorHAnsi"/>
          <w:sz w:val="24"/>
          <w:szCs w:val="24"/>
        </w:rPr>
      </w:pPr>
      <w:r w:rsidRPr="00C4502C">
        <w:rPr>
          <w:rFonts w:cstheme="minorHAnsi"/>
          <w:sz w:val="24"/>
          <w:szCs w:val="24"/>
        </w:rPr>
        <w:t xml:space="preserve">asystowanie inwestorom w niezbędnych procedurach administracyjnych </w:t>
      </w:r>
      <w:r w:rsidRPr="00C4502C">
        <w:rPr>
          <w:rFonts w:cstheme="minorHAnsi"/>
          <w:sz w:val="24"/>
          <w:szCs w:val="24"/>
        </w:rPr>
        <w:br/>
        <w:t>i prawnych na poziomie gminy, występujących w trakcie realizacji projektu inwestycyjnego,</w:t>
      </w:r>
    </w:p>
    <w:p w14:paraId="41312BE1" w14:textId="3CAF3ADC" w:rsidR="00D455E2" w:rsidRPr="00C4502C" w:rsidRDefault="00D455E2" w:rsidP="00983B26">
      <w:pPr>
        <w:pStyle w:val="Akapitzlist"/>
        <w:numPr>
          <w:ilvl w:val="0"/>
          <w:numId w:val="7"/>
        </w:numPr>
        <w:spacing w:after="0" w:line="276" w:lineRule="auto"/>
        <w:jc w:val="both"/>
        <w:rPr>
          <w:rFonts w:cstheme="minorHAnsi"/>
          <w:sz w:val="24"/>
          <w:szCs w:val="24"/>
        </w:rPr>
      </w:pPr>
      <w:r w:rsidRPr="00C4502C">
        <w:rPr>
          <w:rFonts w:cstheme="minorHAnsi"/>
          <w:sz w:val="24"/>
          <w:szCs w:val="24"/>
        </w:rPr>
        <w:t>opieka proinwestycyjna dla firm łącznie ze wsparciem firm, które już działają na terenie gminy</w:t>
      </w:r>
      <w:r w:rsidR="00A65E79" w:rsidRPr="00C4502C">
        <w:rPr>
          <w:rFonts w:cstheme="minorHAnsi"/>
          <w:sz w:val="24"/>
          <w:szCs w:val="24"/>
        </w:rPr>
        <w:t>.</w:t>
      </w:r>
    </w:p>
    <w:p w14:paraId="37CB7F90" w14:textId="7C99E662" w:rsidR="00DD26C4" w:rsidRPr="00C4502C" w:rsidRDefault="00DD26C4" w:rsidP="00DD26C4">
      <w:pPr>
        <w:pStyle w:val="Akapitzlist"/>
        <w:numPr>
          <w:ilvl w:val="0"/>
          <w:numId w:val="6"/>
        </w:numPr>
        <w:spacing w:after="0" w:line="276" w:lineRule="auto"/>
        <w:ind w:left="426" w:hanging="426"/>
        <w:jc w:val="both"/>
        <w:rPr>
          <w:rFonts w:cs="Times New Roman"/>
          <w:sz w:val="24"/>
          <w:szCs w:val="24"/>
        </w:rPr>
      </w:pPr>
      <w:r w:rsidRPr="00C4502C">
        <w:rPr>
          <w:rFonts w:eastAsia="Arial" w:cs="Times New Roman"/>
        </w:rPr>
        <w:t xml:space="preserve">w </w:t>
      </w:r>
      <w:r w:rsidRPr="00C4502C">
        <w:rPr>
          <w:rFonts w:cs="Times New Roman"/>
          <w:sz w:val="24"/>
          <w:szCs w:val="24"/>
        </w:rPr>
        <w:t>§ 26 ust. 3 dodaje się pkt 58 w brzmieniu:</w:t>
      </w:r>
    </w:p>
    <w:p w14:paraId="0662E92A" w14:textId="495EE7E8" w:rsidR="005F73EA" w:rsidRPr="00C4502C" w:rsidRDefault="00DD26C4" w:rsidP="00C4502C">
      <w:pPr>
        <w:spacing w:after="0" w:line="276" w:lineRule="auto"/>
        <w:ind w:left="426"/>
        <w:jc w:val="both"/>
        <w:rPr>
          <w:rFonts w:cs="Times New Roman"/>
          <w:sz w:val="24"/>
          <w:szCs w:val="24"/>
        </w:rPr>
      </w:pPr>
      <w:r w:rsidRPr="00C4502C">
        <w:rPr>
          <w:rFonts w:cs="Times New Roman"/>
          <w:sz w:val="24"/>
          <w:szCs w:val="24"/>
        </w:rPr>
        <w:t xml:space="preserve">„58) </w:t>
      </w:r>
      <w:r w:rsidR="005F73EA" w:rsidRPr="00C4502C">
        <w:rPr>
          <w:rFonts w:cs="Times New Roman"/>
          <w:sz w:val="24"/>
          <w:szCs w:val="24"/>
        </w:rPr>
        <w:t xml:space="preserve">administrowanie </w:t>
      </w:r>
      <w:r w:rsidR="00CA05C5" w:rsidRPr="00C4502C">
        <w:rPr>
          <w:rFonts w:cs="Times New Roman"/>
          <w:sz w:val="24"/>
          <w:szCs w:val="24"/>
        </w:rPr>
        <w:t>kontem gminnym w</w:t>
      </w:r>
      <w:r w:rsidR="005F73EA" w:rsidRPr="00C4502C">
        <w:rPr>
          <w:rFonts w:cs="Times New Roman"/>
          <w:sz w:val="24"/>
          <w:szCs w:val="24"/>
        </w:rPr>
        <w:t xml:space="preserve"> </w:t>
      </w:r>
      <w:r w:rsidR="00CA05C5" w:rsidRPr="00C4502C">
        <w:rPr>
          <w:sz w:val="24"/>
          <w:szCs w:val="24"/>
        </w:rPr>
        <w:t>Bazie Polskiej Agencji Inwestycji i Handlu</w:t>
      </w:r>
      <w:r w:rsidR="00C4502C" w:rsidRPr="00C4502C">
        <w:rPr>
          <w:rFonts w:cs="Times New Roman"/>
          <w:sz w:val="24"/>
          <w:szCs w:val="24"/>
        </w:rPr>
        <w:t>,</w:t>
      </w:r>
      <w:r w:rsidR="00CA05C5" w:rsidRPr="00C4502C">
        <w:rPr>
          <w:rFonts w:cstheme="minorHAnsi"/>
          <w:sz w:val="24"/>
          <w:szCs w:val="24"/>
        </w:rPr>
        <w:t xml:space="preserve"> </w:t>
      </w:r>
      <w:r w:rsidR="00C4502C" w:rsidRPr="00C4502C">
        <w:rPr>
          <w:rFonts w:cstheme="minorHAnsi"/>
          <w:sz w:val="24"/>
          <w:szCs w:val="24"/>
        </w:rPr>
        <w:br/>
      </w:r>
      <w:r w:rsidR="00CA05C5" w:rsidRPr="00C4502C">
        <w:rPr>
          <w:rFonts w:cstheme="minorHAnsi"/>
          <w:sz w:val="24"/>
          <w:szCs w:val="24"/>
        </w:rPr>
        <w:t xml:space="preserve">w tym </w:t>
      </w:r>
      <w:r w:rsidR="00C4502C" w:rsidRPr="00C4502C">
        <w:rPr>
          <w:rFonts w:cstheme="minorHAnsi"/>
          <w:sz w:val="24"/>
          <w:szCs w:val="24"/>
        </w:rPr>
        <w:t>zamieszczanie i aktualizowanie oferty inwestycyjnej przy współpracy z ZIR.”.</w:t>
      </w:r>
      <w:r w:rsidRPr="00C4502C">
        <w:rPr>
          <w:rFonts w:cs="Times New Roman"/>
          <w:sz w:val="24"/>
          <w:szCs w:val="24"/>
        </w:rPr>
        <w:t xml:space="preserve"> </w:t>
      </w:r>
    </w:p>
    <w:p w14:paraId="6D27F53A" w14:textId="352581CA" w:rsidR="007913CC" w:rsidRPr="00C4502C" w:rsidRDefault="008C2E1C" w:rsidP="005F73EA">
      <w:pPr>
        <w:pStyle w:val="Akapitzlist"/>
        <w:numPr>
          <w:ilvl w:val="0"/>
          <w:numId w:val="6"/>
        </w:numPr>
        <w:tabs>
          <w:tab w:val="left" w:pos="426"/>
        </w:tabs>
        <w:spacing w:after="0" w:line="276" w:lineRule="auto"/>
        <w:ind w:left="0" w:firstLine="0"/>
        <w:jc w:val="both"/>
        <w:rPr>
          <w:rFonts w:cs="Times New Roman"/>
          <w:sz w:val="24"/>
          <w:szCs w:val="24"/>
        </w:rPr>
      </w:pPr>
      <w:r w:rsidRPr="00C4502C">
        <w:rPr>
          <w:rFonts w:cstheme="minorHAnsi"/>
          <w:sz w:val="24"/>
          <w:szCs w:val="24"/>
        </w:rPr>
        <w:t>w</w:t>
      </w:r>
      <w:r w:rsidR="007913CC" w:rsidRPr="00C4502C">
        <w:rPr>
          <w:rFonts w:cstheme="minorHAnsi"/>
          <w:sz w:val="24"/>
          <w:szCs w:val="24"/>
        </w:rPr>
        <w:t xml:space="preserve"> </w:t>
      </w:r>
      <w:r w:rsidR="007913CC" w:rsidRPr="00C4502C">
        <w:rPr>
          <w:rFonts w:cs="Times New Roman"/>
          <w:sz w:val="24"/>
          <w:szCs w:val="24"/>
        </w:rPr>
        <w:t xml:space="preserve">§ 26 ust. 4 pkt </w:t>
      </w:r>
      <w:r w:rsidR="00BA15B6" w:rsidRPr="00C4502C">
        <w:rPr>
          <w:rFonts w:cs="Times New Roman"/>
          <w:sz w:val="24"/>
          <w:szCs w:val="24"/>
        </w:rPr>
        <w:t xml:space="preserve">13, </w:t>
      </w:r>
      <w:r w:rsidR="007913CC" w:rsidRPr="00C4502C">
        <w:rPr>
          <w:rFonts w:cs="Times New Roman"/>
          <w:sz w:val="24"/>
          <w:szCs w:val="24"/>
        </w:rPr>
        <w:t xml:space="preserve">19 </w:t>
      </w:r>
      <w:r w:rsidR="00983B26" w:rsidRPr="00C4502C">
        <w:rPr>
          <w:rFonts w:cs="Times New Roman"/>
          <w:sz w:val="24"/>
          <w:szCs w:val="24"/>
        </w:rPr>
        <w:t xml:space="preserve">i 20 </w:t>
      </w:r>
      <w:r w:rsidR="007913CC" w:rsidRPr="00C4502C">
        <w:rPr>
          <w:rFonts w:cs="Times New Roman"/>
          <w:sz w:val="24"/>
          <w:szCs w:val="24"/>
        </w:rPr>
        <w:t>otrzymuj</w:t>
      </w:r>
      <w:r w:rsidR="00983B26" w:rsidRPr="00C4502C">
        <w:rPr>
          <w:rFonts w:cs="Times New Roman"/>
          <w:sz w:val="24"/>
          <w:szCs w:val="24"/>
        </w:rPr>
        <w:t>ą</w:t>
      </w:r>
      <w:r w:rsidR="007913CC" w:rsidRPr="00C4502C">
        <w:rPr>
          <w:rFonts w:cs="Times New Roman"/>
          <w:sz w:val="24"/>
          <w:szCs w:val="24"/>
        </w:rPr>
        <w:t xml:space="preserve"> brzmienie:</w:t>
      </w:r>
    </w:p>
    <w:p w14:paraId="0D998AD7" w14:textId="06B7183A" w:rsidR="00BA15B6" w:rsidRPr="00C4502C" w:rsidRDefault="007913CC" w:rsidP="00BA15B6">
      <w:pPr>
        <w:pStyle w:val="Akapitzlist"/>
        <w:spacing w:after="0" w:line="276" w:lineRule="auto"/>
        <w:ind w:left="142"/>
        <w:jc w:val="both"/>
        <w:rPr>
          <w:rFonts w:cstheme="minorHAnsi"/>
          <w:sz w:val="24"/>
          <w:szCs w:val="24"/>
        </w:rPr>
      </w:pPr>
      <w:r w:rsidRPr="00C4502C">
        <w:rPr>
          <w:rFonts w:cs="Times New Roman"/>
          <w:sz w:val="24"/>
          <w:szCs w:val="24"/>
        </w:rPr>
        <w:t>„</w:t>
      </w:r>
      <w:r w:rsidR="00BA15B6" w:rsidRPr="00C4502C">
        <w:rPr>
          <w:rFonts w:cs="Times New Roman"/>
          <w:sz w:val="24"/>
          <w:szCs w:val="24"/>
        </w:rPr>
        <w:t xml:space="preserve">13 )  </w:t>
      </w:r>
      <w:r w:rsidR="00BA15B6" w:rsidRPr="00C4502C">
        <w:rPr>
          <w:rFonts w:cstheme="minorHAnsi"/>
          <w:sz w:val="24"/>
          <w:szCs w:val="24"/>
        </w:rPr>
        <w:t>uzupełnianie i sprostowanie aktów stanu cywilnego,</w:t>
      </w:r>
    </w:p>
    <w:p w14:paraId="6E8528A2" w14:textId="2998FAE3" w:rsidR="00983B26" w:rsidRPr="00C4502C" w:rsidRDefault="007913CC" w:rsidP="00983B26">
      <w:pPr>
        <w:shd w:val="clear" w:color="auto" w:fill="FFFFFF"/>
        <w:spacing w:after="0" w:line="276" w:lineRule="auto"/>
        <w:ind w:left="709" w:hanging="425"/>
        <w:jc w:val="both"/>
        <w:rPr>
          <w:rFonts w:cstheme="minorHAnsi"/>
          <w:sz w:val="24"/>
          <w:szCs w:val="24"/>
        </w:rPr>
      </w:pPr>
      <w:r w:rsidRPr="00C4502C">
        <w:rPr>
          <w:rFonts w:cs="Times New Roman"/>
          <w:sz w:val="24"/>
          <w:szCs w:val="24"/>
        </w:rPr>
        <w:t xml:space="preserve">19) </w:t>
      </w:r>
      <w:r w:rsidR="00983B26" w:rsidRPr="00C4502C">
        <w:rPr>
          <w:rFonts w:cstheme="minorHAnsi"/>
          <w:sz w:val="24"/>
          <w:szCs w:val="24"/>
        </w:rPr>
        <w:t xml:space="preserve">prowadzenie i aktualizacja Centralnego Rejestru Wyborców oraz realizacja zadań wynikających z CRW, w tym: sporządzania spisów wyborców, sporządzania spisów osób uprawnionych do udziału w referendum, </w:t>
      </w:r>
      <w:r w:rsidR="00983B26" w:rsidRPr="00C4502C">
        <w:rPr>
          <w:rFonts w:cstheme="minorHAnsi"/>
        </w:rPr>
        <w:t xml:space="preserve">ustalania liczby wyborców, </w:t>
      </w:r>
      <w:r w:rsidR="00983B26" w:rsidRPr="00C4502C">
        <w:rPr>
          <w:rFonts w:cstheme="minorHAnsi"/>
          <w:sz w:val="24"/>
          <w:szCs w:val="24"/>
          <w:shd w:val="clear" w:color="auto" w:fill="FFFFFF"/>
        </w:rPr>
        <w:t xml:space="preserve">sprawdzenia </w:t>
      </w:r>
      <w:r w:rsidR="00983B26" w:rsidRPr="00C4502C">
        <w:rPr>
          <w:rFonts w:cstheme="minorHAnsi"/>
          <w:sz w:val="24"/>
          <w:szCs w:val="24"/>
          <w:shd w:val="clear" w:color="auto" w:fill="FFFFFF"/>
        </w:rPr>
        <w:lastRenderedPageBreak/>
        <w:t xml:space="preserve">posiadania prawa wybierania przez mieszkańców, </w:t>
      </w:r>
      <w:r w:rsidR="00983B26" w:rsidRPr="00C4502C">
        <w:rPr>
          <w:rFonts w:cstheme="minorHAnsi"/>
        </w:rPr>
        <w:t xml:space="preserve"> </w:t>
      </w:r>
      <w:r w:rsidR="00983B26" w:rsidRPr="00C4502C">
        <w:rPr>
          <w:rFonts w:cstheme="minorHAnsi"/>
          <w:sz w:val="24"/>
          <w:szCs w:val="24"/>
        </w:rPr>
        <w:t xml:space="preserve">ustalania liczby mieszkańców </w:t>
      </w:r>
      <w:r w:rsidR="00983B26" w:rsidRPr="00C4502C">
        <w:rPr>
          <w:rFonts w:cstheme="minorHAnsi"/>
          <w:sz w:val="24"/>
          <w:szCs w:val="24"/>
        </w:rPr>
        <w:br/>
        <w:t>dla potrzeb określonych w Kodeksie wyborczym, udostępnianie danych przetwarzanych w CRW oraz realizacja innych zadań wynikających z przepisów kodeksu wyborczego, </w:t>
      </w:r>
      <w:hyperlink r:id="rId5" w:tgtFrame="_blank" w:tooltip="USTAWA z dnia 15 września 2000 r. o referendum lokalnym" w:history="1">
        <w:r w:rsidR="00983B26" w:rsidRPr="00C4502C">
          <w:rPr>
            <w:rStyle w:val="Hipercze"/>
            <w:rFonts w:cstheme="minorHAnsi"/>
            <w:color w:val="auto"/>
            <w:sz w:val="24"/>
            <w:szCs w:val="24"/>
            <w:u w:val="none"/>
          </w:rPr>
          <w:t>ustawy z dnia 15 września 2000 r. o referendum lokalnym</w:t>
        </w:r>
      </w:hyperlink>
      <w:r w:rsidR="00983B26" w:rsidRPr="00C4502C">
        <w:rPr>
          <w:rFonts w:cstheme="minorHAnsi"/>
          <w:sz w:val="24"/>
          <w:szCs w:val="24"/>
        </w:rPr>
        <w:t xml:space="preserve">, ustawy z dnia 14 marca 2003 r. o referendum ogólnokrajowym i ustawy z dnia 24 czerwca 1999 r. </w:t>
      </w:r>
      <w:r w:rsidR="00983B26" w:rsidRPr="00C4502C">
        <w:rPr>
          <w:rFonts w:cstheme="minorHAnsi"/>
          <w:sz w:val="24"/>
          <w:szCs w:val="24"/>
        </w:rPr>
        <w:br/>
        <w:t>o wykonywaniu inicjatywy ustawodawczej przez obywateli.</w:t>
      </w:r>
    </w:p>
    <w:p w14:paraId="0574C637" w14:textId="53A96763" w:rsidR="00983B26" w:rsidRPr="00983B26" w:rsidRDefault="00983B26" w:rsidP="00983B26">
      <w:pPr>
        <w:pStyle w:val="Akapitzlist"/>
        <w:numPr>
          <w:ilvl w:val="0"/>
          <w:numId w:val="10"/>
        </w:numPr>
        <w:spacing w:after="0" w:line="276" w:lineRule="auto"/>
        <w:jc w:val="both"/>
        <w:rPr>
          <w:rFonts w:cstheme="minorHAnsi"/>
          <w:sz w:val="24"/>
          <w:szCs w:val="24"/>
        </w:rPr>
      </w:pPr>
      <w:r w:rsidRPr="00983B26">
        <w:rPr>
          <w:rFonts w:cstheme="minorHAnsi"/>
          <w:sz w:val="24"/>
          <w:szCs w:val="24"/>
        </w:rPr>
        <w:t xml:space="preserve">prowadzenie innych prac na rzecz wyborów przewidzianych prawem wyborczym, </w:t>
      </w:r>
      <w:r>
        <w:rPr>
          <w:rFonts w:cstheme="minorHAnsi"/>
          <w:sz w:val="24"/>
          <w:szCs w:val="24"/>
        </w:rPr>
        <w:br/>
      </w:r>
      <w:r w:rsidRPr="00983B26">
        <w:rPr>
          <w:rFonts w:cstheme="minorHAnsi"/>
          <w:sz w:val="24"/>
          <w:szCs w:val="24"/>
        </w:rPr>
        <w:t xml:space="preserve">w tym sporządzania aktów pełnomocnictwa do głosowania w wyborach do Sejmu Rzeczypospolitej Polskiej, do Senatu Rzeczypospolitej Polskiej, Prezydenta Rzeczypospolitej Polskiej, do Parlamentu Europejskiego, do Rady Gminy Jednorożec, Rady Powiatu Przasnyskiego, Sejmiku Województwa Mazowieckiego, Wójta Gminy Jednorożec, udzielanie wyborcom niepełnosprawnym informacji o </w:t>
      </w:r>
      <w:r w:rsidRPr="00983B26">
        <w:rPr>
          <w:rFonts w:cstheme="minorHAnsi"/>
          <w:color w:val="000000"/>
          <w:sz w:val="24"/>
          <w:szCs w:val="24"/>
          <w:shd w:val="clear" w:color="auto" w:fill="FFFFFF"/>
        </w:rPr>
        <w:t>warunkach ujęcia wyborcy w spisie wyborców w obwodzie głosowania przystosowanym dla osób niepełnosprawnych</w:t>
      </w:r>
      <w:r w:rsidR="00595355">
        <w:rPr>
          <w:rFonts w:cstheme="minorHAnsi"/>
          <w:sz w:val="24"/>
          <w:szCs w:val="24"/>
        </w:rPr>
        <w:t>.”;</w:t>
      </w:r>
    </w:p>
    <w:p w14:paraId="29CE0AA3" w14:textId="660958D7" w:rsidR="007913CC" w:rsidRDefault="005536B6" w:rsidP="00595355">
      <w:pPr>
        <w:pStyle w:val="Akapitzlist"/>
        <w:numPr>
          <w:ilvl w:val="0"/>
          <w:numId w:val="6"/>
        </w:numPr>
        <w:spacing w:after="0" w:line="276" w:lineRule="auto"/>
        <w:ind w:left="426" w:hanging="426"/>
        <w:jc w:val="both"/>
        <w:rPr>
          <w:rFonts w:cs="Times New Roman"/>
          <w:sz w:val="24"/>
          <w:szCs w:val="24"/>
        </w:rPr>
      </w:pPr>
      <w:r>
        <w:rPr>
          <w:rFonts w:cstheme="minorHAnsi"/>
          <w:sz w:val="24"/>
          <w:szCs w:val="24"/>
        </w:rPr>
        <w:t>w</w:t>
      </w:r>
      <w:r w:rsidR="00F5070A" w:rsidRPr="00983B26">
        <w:rPr>
          <w:rFonts w:cstheme="minorHAnsi"/>
          <w:sz w:val="24"/>
          <w:szCs w:val="24"/>
        </w:rPr>
        <w:t xml:space="preserve"> </w:t>
      </w:r>
      <w:r w:rsidR="00F5070A" w:rsidRPr="00983B26">
        <w:rPr>
          <w:rFonts w:cs="Times New Roman"/>
          <w:sz w:val="24"/>
          <w:szCs w:val="24"/>
        </w:rPr>
        <w:t>§ 26 ust. 4 skreśla się pkt 21</w:t>
      </w:r>
      <w:r w:rsidR="005732F7">
        <w:rPr>
          <w:rFonts w:cs="Times New Roman"/>
          <w:sz w:val="24"/>
          <w:szCs w:val="24"/>
        </w:rPr>
        <w:t>.</w:t>
      </w:r>
    </w:p>
    <w:p w14:paraId="4520741C" w14:textId="77777777" w:rsidR="006E53C6" w:rsidRPr="00FD3627" w:rsidRDefault="006E53C6" w:rsidP="006E53C6">
      <w:pPr>
        <w:pStyle w:val="Akapitzlist"/>
        <w:widowControl w:val="0"/>
        <w:suppressAutoHyphens/>
        <w:autoSpaceDE w:val="0"/>
        <w:spacing w:after="0" w:line="240" w:lineRule="auto"/>
        <w:ind w:left="284"/>
        <w:jc w:val="both"/>
        <w:rPr>
          <w:rFonts w:eastAsia="Times New Roman" w:cs="Times New Roman"/>
          <w:sz w:val="10"/>
          <w:szCs w:val="10"/>
          <w:lang w:eastAsia="pl-PL"/>
        </w:rPr>
      </w:pPr>
    </w:p>
    <w:p w14:paraId="0913200E" w14:textId="77777777" w:rsidR="006E53C6" w:rsidRDefault="006E53C6" w:rsidP="006E53C6">
      <w:pPr>
        <w:autoSpaceDE w:val="0"/>
        <w:autoSpaceDN w:val="0"/>
        <w:adjustRightInd w:val="0"/>
        <w:spacing w:after="0" w:line="276" w:lineRule="auto"/>
        <w:jc w:val="both"/>
        <w:rPr>
          <w:rFonts w:cs="Times New Roman"/>
          <w:sz w:val="24"/>
          <w:szCs w:val="24"/>
        </w:rPr>
      </w:pPr>
      <w:r>
        <w:rPr>
          <w:rFonts w:cs="Times New Roman"/>
          <w:bCs/>
          <w:sz w:val="24"/>
          <w:szCs w:val="24"/>
        </w:rPr>
        <w:t xml:space="preserve">§ 2. </w:t>
      </w:r>
      <w:r>
        <w:rPr>
          <w:rFonts w:cs="Times New Roman"/>
          <w:sz w:val="24"/>
          <w:szCs w:val="24"/>
        </w:rPr>
        <w:t>Wykonanie zarządzenia powierza się Sekretarzowi Gminy.</w:t>
      </w:r>
    </w:p>
    <w:p w14:paraId="3DC1704F" w14:textId="77777777" w:rsidR="006E53C6" w:rsidRPr="00FD3627" w:rsidRDefault="006E53C6" w:rsidP="006E53C6">
      <w:pPr>
        <w:autoSpaceDE w:val="0"/>
        <w:autoSpaceDN w:val="0"/>
        <w:adjustRightInd w:val="0"/>
        <w:spacing w:after="0" w:line="276" w:lineRule="auto"/>
        <w:jc w:val="both"/>
        <w:rPr>
          <w:rFonts w:cs="Times New Roman"/>
          <w:sz w:val="10"/>
          <w:szCs w:val="10"/>
        </w:rPr>
      </w:pPr>
    </w:p>
    <w:p w14:paraId="40FE5B85" w14:textId="062AADBB" w:rsidR="006E53C6" w:rsidRDefault="006E53C6" w:rsidP="006E53C6">
      <w:pPr>
        <w:autoSpaceDE w:val="0"/>
        <w:autoSpaceDN w:val="0"/>
        <w:adjustRightInd w:val="0"/>
        <w:spacing w:after="0" w:line="276" w:lineRule="auto"/>
        <w:jc w:val="both"/>
        <w:rPr>
          <w:rFonts w:cs="Times New Roman"/>
          <w:sz w:val="24"/>
          <w:szCs w:val="24"/>
        </w:rPr>
      </w:pPr>
      <w:r>
        <w:rPr>
          <w:rFonts w:cs="Times New Roman"/>
          <w:bCs/>
          <w:sz w:val="24"/>
          <w:szCs w:val="24"/>
        </w:rPr>
        <w:t xml:space="preserve">§ 3. </w:t>
      </w:r>
      <w:r>
        <w:rPr>
          <w:rFonts w:cs="Times New Roman"/>
          <w:sz w:val="24"/>
          <w:szCs w:val="24"/>
        </w:rPr>
        <w:t>Zarządzenie wchodzi w życie z dniem podpisania.</w:t>
      </w:r>
    </w:p>
    <w:p w14:paraId="7909C877" w14:textId="77777777" w:rsidR="006E53C6" w:rsidRPr="00AE25C8" w:rsidRDefault="006E53C6" w:rsidP="006E53C6">
      <w:pPr>
        <w:autoSpaceDE w:val="0"/>
        <w:autoSpaceDN w:val="0"/>
        <w:adjustRightInd w:val="0"/>
        <w:spacing w:after="0" w:line="276" w:lineRule="auto"/>
        <w:jc w:val="both"/>
        <w:rPr>
          <w:rFonts w:cs="Times New Roman"/>
          <w:sz w:val="24"/>
          <w:szCs w:val="24"/>
        </w:rPr>
      </w:pPr>
    </w:p>
    <w:p w14:paraId="10B51C9A" w14:textId="77777777" w:rsidR="00983B26" w:rsidRDefault="006E53C6" w:rsidP="006E53C6">
      <w:pPr>
        <w:autoSpaceDE w:val="0"/>
        <w:autoSpaceDN w:val="0"/>
        <w:adjustRightInd w:val="0"/>
        <w:spacing w:after="0" w:line="276" w:lineRule="auto"/>
        <w:ind w:left="6379"/>
        <w:jc w:val="both"/>
        <w:rPr>
          <w:rFonts w:cs="Times New Roman"/>
          <w:sz w:val="24"/>
          <w:szCs w:val="24"/>
        </w:rPr>
      </w:pPr>
      <w:r w:rsidRPr="00AE25C8">
        <w:rPr>
          <w:rFonts w:cs="Times New Roman"/>
          <w:sz w:val="24"/>
          <w:szCs w:val="24"/>
        </w:rPr>
        <w:t xml:space="preserve"> </w:t>
      </w:r>
    </w:p>
    <w:p w14:paraId="257067F0" w14:textId="77777777" w:rsidR="006A4748" w:rsidRDefault="006A4748" w:rsidP="006E53C6">
      <w:pPr>
        <w:autoSpaceDE w:val="0"/>
        <w:autoSpaceDN w:val="0"/>
        <w:adjustRightInd w:val="0"/>
        <w:spacing w:after="0" w:line="276" w:lineRule="auto"/>
        <w:ind w:left="6379"/>
        <w:jc w:val="both"/>
        <w:rPr>
          <w:rFonts w:cs="Times New Roman"/>
          <w:sz w:val="24"/>
          <w:szCs w:val="24"/>
        </w:rPr>
      </w:pPr>
    </w:p>
    <w:p w14:paraId="075C848E" w14:textId="055B9504" w:rsidR="006E53C6" w:rsidRPr="007D407D" w:rsidRDefault="006E53C6" w:rsidP="006E53C6">
      <w:pPr>
        <w:autoSpaceDE w:val="0"/>
        <w:autoSpaceDN w:val="0"/>
        <w:adjustRightInd w:val="0"/>
        <w:spacing w:after="0" w:line="276" w:lineRule="auto"/>
        <w:ind w:left="6379"/>
        <w:jc w:val="both"/>
        <w:rPr>
          <w:rFonts w:cs="Times New Roman"/>
          <w:sz w:val="24"/>
          <w:szCs w:val="24"/>
        </w:rPr>
      </w:pPr>
      <w:r w:rsidRPr="007D407D">
        <w:rPr>
          <w:rFonts w:cs="Times New Roman"/>
          <w:sz w:val="24"/>
          <w:szCs w:val="24"/>
        </w:rPr>
        <w:t xml:space="preserve">   Wójt Gminy Jednorożec</w:t>
      </w:r>
    </w:p>
    <w:p w14:paraId="0355F0DD" w14:textId="77777777" w:rsidR="006E53C6" w:rsidRPr="007D407D" w:rsidRDefault="006E53C6" w:rsidP="006E53C6">
      <w:pPr>
        <w:autoSpaceDE w:val="0"/>
        <w:autoSpaceDN w:val="0"/>
        <w:adjustRightInd w:val="0"/>
        <w:spacing w:after="0" w:line="276" w:lineRule="auto"/>
        <w:ind w:left="6379"/>
        <w:jc w:val="both"/>
        <w:rPr>
          <w:rFonts w:cs="Times New Roman"/>
          <w:sz w:val="24"/>
          <w:szCs w:val="24"/>
        </w:rPr>
      </w:pPr>
      <w:r w:rsidRPr="007D407D">
        <w:rPr>
          <w:rFonts w:cs="Times New Roman"/>
          <w:sz w:val="24"/>
          <w:szCs w:val="24"/>
        </w:rPr>
        <w:t>/-/ Krzysztof Andrzej Iwulski</w:t>
      </w:r>
    </w:p>
    <w:p w14:paraId="252DFB76" w14:textId="77777777" w:rsidR="006D7E9D" w:rsidRPr="007D407D" w:rsidRDefault="006D7E9D"/>
    <w:sectPr w:rsidR="006D7E9D" w:rsidRPr="007D407D" w:rsidSect="00865C1A">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60F3"/>
    <w:multiLevelType w:val="hybridMultilevel"/>
    <w:tmpl w:val="01B6E3EC"/>
    <w:lvl w:ilvl="0" w:tplc="23B64348">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D45765"/>
    <w:multiLevelType w:val="hybridMultilevel"/>
    <w:tmpl w:val="30023B62"/>
    <w:lvl w:ilvl="0" w:tplc="04150017">
      <w:start w:val="1"/>
      <w:numFmt w:val="lowerLetter"/>
      <w:lvlText w:val="%1)"/>
      <w:lvlJc w:val="left"/>
      <w:pPr>
        <w:ind w:left="1713" w:hanging="360"/>
      </w:pPr>
    </w:lvl>
    <w:lvl w:ilvl="1" w:tplc="04150017">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 w15:restartNumberingAfterBreak="0">
    <w:nsid w:val="17E67797"/>
    <w:multiLevelType w:val="hybridMultilevel"/>
    <w:tmpl w:val="179ADED0"/>
    <w:lvl w:ilvl="0" w:tplc="04150011">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605F9F"/>
    <w:multiLevelType w:val="hybridMultilevel"/>
    <w:tmpl w:val="40C2BA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8395CC1"/>
    <w:multiLevelType w:val="hybridMultilevel"/>
    <w:tmpl w:val="9E6E8F46"/>
    <w:lvl w:ilvl="0" w:tplc="42227E8E">
      <w:start w:val="28"/>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15:restartNumberingAfterBreak="0">
    <w:nsid w:val="2ECF74A0"/>
    <w:multiLevelType w:val="hybridMultilevel"/>
    <w:tmpl w:val="8E480C26"/>
    <w:lvl w:ilvl="0" w:tplc="04150005">
      <w:start w:val="1"/>
      <w:numFmt w:val="bullet"/>
      <w:lvlText w:val=""/>
      <w:lvlJc w:val="left"/>
      <w:pPr>
        <w:ind w:left="1778" w:hanging="360"/>
      </w:pPr>
      <w:rPr>
        <w:rFonts w:ascii="Wingdings" w:hAnsi="Wingdings" w:hint="default"/>
      </w:rPr>
    </w:lvl>
    <w:lvl w:ilvl="1" w:tplc="04150003">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6" w15:restartNumberingAfterBreak="0">
    <w:nsid w:val="33F44B80"/>
    <w:multiLevelType w:val="hybridMultilevel"/>
    <w:tmpl w:val="3BEC2A6A"/>
    <w:lvl w:ilvl="0" w:tplc="5EEE6962">
      <w:start w:val="24"/>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 w15:restartNumberingAfterBreak="0">
    <w:nsid w:val="6B404D7D"/>
    <w:multiLevelType w:val="hybridMultilevel"/>
    <w:tmpl w:val="865ABFF0"/>
    <w:lvl w:ilvl="0" w:tplc="23B64348">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735E2152"/>
    <w:multiLevelType w:val="hybridMultilevel"/>
    <w:tmpl w:val="33B8967C"/>
    <w:lvl w:ilvl="0" w:tplc="04150011">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5517A96"/>
    <w:multiLevelType w:val="hybridMultilevel"/>
    <w:tmpl w:val="26C246E4"/>
    <w:lvl w:ilvl="0" w:tplc="23B643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2544C1"/>
    <w:multiLevelType w:val="hybridMultilevel"/>
    <w:tmpl w:val="BA304BA6"/>
    <w:lvl w:ilvl="0" w:tplc="10BEC3F8">
      <w:start w:val="1"/>
      <w:numFmt w:val="lowerLetter"/>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num w:numId="1" w16cid:durableId="16263067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0182069">
    <w:abstractNumId w:val="5"/>
  </w:num>
  <w:num w:numId="3" w16cid:durableId="1178614429">
    <w:abstractNumId w:val="1"/>
  </w:num>
  <w:num w:numId="4" w16cid:durableId="270936105">
    <w:abstractNumId w:val="9"/>
  </w:num>
  <w:num w:numId="5" w16cid:durableId="1803304871">
    <w:abstractNumId w:val="3"/>
  </w:num>
  <w:num w:numId="6" w16cid:durableId="56631082">
    <w:abstractNumId w:val="7"/>
  </w:num>
  <w:num w:numId="7" w16cid:durableId="1856267333">
    <w:abstractNumId w:val="10"/>
  </w:num>
  <w:num w:numId="8" w16cid:durableId="771317433">
    <w:abstractNumId w:val="2"/>
  </w:num>
  <w:num w:numId="9" w16cid:durableId="758063693">
    <w:abstractNumId w:val="0"/>
  </w:num>
  <w:num w:numId="10" w16cid:durableId="26762249">
    <w:abstractNumId w:val="8"/>
  </w:num>
  <w:num w:numId="11" w16cid:durableId="1558393539">
    <w:abstractNumId w:val="4"/>
  </w:num>
  <w:num w:numId="12" w16cid:durableId="8285958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3C6"/>
    <w:rsid w:val="000064C4"/>
    <w:rsid w:val="00026931"/>
    <w:rsid w:val="000344D1"/>
    <w:rsid w:val="00036CB6"/>
    <w:rsid w:val="000412DA"/>
    <w:rsid w:val="00053865"/>
    <w:rsid w:val="00055541"/>
    <w:rsid w:val="00062669"/>
    <w:rsid w:val="00062B21"/>
    <w:rsid w:val="00074FE9"/>
    <w:rsid w:val="000A0086"/>
    <w:rsid w:val="000A3094"/>
    <w:rsid w:val="000A52D7"/>
    <w:rsid w:val="000A542C"/>
    <w:rsid w:val="000A78F8"/>
    <w:rsid w:val="000B2822"/>
    <w:rsid w:val="000B3944"/>
    <w:rsid w:val="000C06A3"/>
    <w:rsid w:val="000C1B02"/>
    <w:rsid w:val="000C1D4F"/>
    <w:rsid w:val="000D023D"/>
    <w:rsid w:val="0010451C"/>
    <w:rsid w:val="0012447C"/>
    <w:rsid w:val="00132229"/>
    <w:rsid w:val="001442DB"/>
    <w:rsid w:val="00153E0E"/>
    <w:rsid w:val="00162E8B"/>
    <w:rsid w:val="00163188"/>
    <w:rsid w:val="00165E5A"/>
    <w:rsid w:val="00174438"/>
    <w:rsid w:val="001933DF"/>
    <w:rsid w:val="00194D9C"/>
    <w:rsid w:val="001A182C"/>
    <w:rsid w:val="001A3BEA"/>
    <w:rsid w:val="001A469E"/>
    <w:rsid w:val="001A5EED"/>
    <w:rsid w:val="001A7B19"/>
    <w:rsid w:val="001B3A0C"/>
    <w:rsid w:val="001E7CF8"/>
    <w:rsid w:val="00214EC5"/>
    <w:rsid w:val="002206AE"/>
    <w:rsid w:val="002211B4"/>
    <w:rsid w:val="0023261A"/>
    <w:rsid w:val="00233885"/>
    <w:rsid w:val="002460D1"/>
    <w:rsid w:val="00247345"/>
    <w:rsid w:val="00252025"/>
    <w:rsid w:val="00254DA9"/>
    <w:rsid w:val="00264178"/>
    <w:rsid w:val="0026556C"/>
    <w:rsid w:val="00267FBA"/>
    <w:rsid w:val="00270305"/>
    <w:rsid w:val="002906FB"/>
    <w:rsid w:val="00290AE6"/>
    <w:rsid w:val="0029739F"/>
    <w:rsid w:val="002A6A0F"/>
    <w:rsid w:val="002B44F4"/>
    <w:rsid w:val="002B6554"/>
    <w:rsid w:val="002C58E8"/>
    <w:rsid w:val="002E4349"/>
    <w:rsid w:val="002E6CCE"/>
    <w:rsid w:val="002F5F0D"/>
    <w:rsid w:val="003046A8"/>
    <w:rsid w:val="00310F4E"/>
    <w:rsid w:val="00324FF0"/>
    <w:rsid w:val="003267D2"/>
    <w:rsid w:val="00336B5F"/>
    <w:rsid w:val="0034049D"/>
    <w:rsid w:val="003607D5"/>
    <w:rsid w:val="00363575"/>
    <w:rsid w:val="00377AA8"/>
    <w:rsid w:val="003B0674"/>
    <w:rsid w:val="003C004B"/>
    <w:rsid w:val="003C29BF"/>
    <w:rsid w:val="003D5A70"/>
    <w:rsid w:val="003E5A41"/>
    <w:rsid w:val="003F35FB"/>
    <w:rsid w:val="003F3A23"/>
    <w:rsid w:val="003F503F"/>
    <w:rsid w:val="004148AA"/>
    <w:rsid w:val="00417F80"/>
    <w:rsid w:val="00436AD7"/>
    <w:rsid w:val="00442C9F"/>
    <w:rsid w:val="00442EA5"/>
    <w:rsid w:val="004546EA"/>
    <w:rsid w:val="00467802"/>
    <w:rsid w:val="00470BAC"/>
    <w:rsid w:val="00486706"/>
    <w:rsid w:val="00487406"/>
    <w:rsid w:val="004878CE"/>
    <w:rsid w:val="00492536"/>
    <w:rsid w:val="00497B41"/>
    <w:rsid w:val="004A70F3"/>
    <w:rsid w:val="004D17E3"/>
    <w:rsid w:val="004D1C5A"/>
    <w:rsid w:val="004E3531"/>
    <w:rsid w:val="004F14AB"/>
    <w:rsid w:val="00504AA5"/>
    <w:rsid w:val="005206D8"/>
    <w:rsid w:val="005464D1"/>
    <w:rsid w:val="005536B6"/>
    <w:rsid w:val="00553955"/>
    <w:rsid w:val="00554FA6"/>
    <w:rsid w:val="0055724D"/>
    <w:rsid w:val="00560042"/>
    <w:rsid w:val="00567B0A"/>
    <w:rsid w:val="00567EA4"/>
    <w:rsid w:val="005728BA"/>
    <w:rsid w:val="005732F7"/>
    <w:rsid w:val="00577AC8"/>
    <w:rsid w:val="00581407"/>
    <w:rsid w:val="005920EF"/>
    <w:rsid w:val="00593146"/>
    <w:rsid w:val="00595355"/>
    <w:rsid w:val="005A1F80"/>
    <w:rsid w:val="005B1F8A"/>
    <w:rsid w:val="005C331F"/>
    <w:rsid w:val="005D6759"/>
    <w:rsid w:val="005E5A16"/>
    <w:rsid w:val="005F5227"/>
    <w:rsid w:val="005F6403"/>
    <w:rsid w:val="005F6FD5"/>
    <w:rsid w:val="005F73EA"/>
    <w:rsid w:val="00611324"/>
    <w:rsid w:val="006136A9"/>
    <w:rsid w:val="00616291"/>
    <w:rsid w:val="00627918"/>
    <w:rsid w:val="00636041"/>
    <w:rsid w:val="00640F4B"/>
    <w:rsid w:val="006417BC"/>
    <w:rsid w:val="00642208"/>
    <w:rsid w:val="00651E0D"/>
    <w:rsid w:val="00653F92"/>
    <w:rsid w:val="00683F93"/>
    <w:rsid w:val="00684BB3"/>
    <w:rsid w:val="00693866"/>
    <w:rsid w:val="00694D9C"/>
    <w:rsid w:val="006A4748"/>
    <w:rsid w:val="006B3EDA"/>
    <w:rsid w:val="006C4431"/>
    <w:rsid w:val="006D061A"/>
    <w:rsid w:val="006D7E9D"/>
    <w:rsid w:val="006E53C6"/>
    <w:rsid w:val="006F0773"/>
    <w:rsid w:val="00712EDE"/>
    <w:rsid w:val="00717C25"/>
    <w:rsid w:val="00720B40"/>
    <w:rsid w:val="007373B4"/>
    <w:rsid w:val="00747966"/>
    <w:rsid w:val="007566D6"/>
    <w:rsid w:val="00762488"/>
    <w:rsid w:val="0076633B"/>
    <w:rsid w:val="00781203"/>
    <w:rsid w:val="007913CC"/>
    <w:rsid w:val="007A43E5"/>
    <w:rsid w:val="007B2925"/>
    <w:rsid w:val="007C7F1E"/>
    <w:rsid w:val="007D407D"/>
    <w:rsid w:val="007D4338"/>
    <w:rsid w:val="007D6FD4"/>
    <w:rsid w:val="007F153F"/>
    <w:rsid w:val="007F2335"/>
    <w:rsid w:val="00804E00"/>
    <w:rsid w:val="008162BD"/>
    <w:rsid w:val="00816C07"/>
    <w:rsid w:val="00822E5B"/>
    <w:rsid w:val="008449F5"/>
    <w:rsid w:val="00853B9E"/>
    <w:rsid w:val="00865C1A"/>
    <w:rsid w:val="00870B1D"/>
    <w:rsid w:val="008835F2"/>
    <w:rsid w:val="00887279"/>
    <w:rsid w:val="00893E51"/>
    <w:rsid w:val="008C1F24"/>
    <w:rsid w:val="008C2E1C"/>
    <w:rsid w:val="008C3153"/>
    <w:rsid w:val="008C3B42"/>
    <w:rsid w:val="008C62A6"/>
    <w:rsid w:val="008D1496"/>
    <w:rsid w:val="008F0760"/>
    <w:rsid w:val="008F3859"/>
    <w:rsid w:val="0091403A"/>
    <w:rsid w:val="00915B8F"/>
    <w:rsid w:val="009449C5"/>
    <w:rsid w:val="0095738E"/>
    <w:rsid w:val="00963413"/>
    <w:rsid w:val="009652F9"/>
    <w:rsid w:val="00967265"/>
    <w:rsid w:val="00983B26"/>
    <w:rsid w:val="00995648"/>
    <w:rsid w:val="009A0674"/>
    <w:rsid w:val="009A5CFA"/>
    <w:rsid w:val="009A60C1"/>
    <w:rsid w:val="009A7A4C"/>
    <w:rsid w:val="009C67F7"/>
    <w:rsid w:val="009D005F"/>
    <w:rsid w:val="009D0DDD"/>
    <w:rsid w:val="009E099E"/>
    <w:rsid w:val="009F21C0"/>
    <w:rsid w:val="00A03181"/>
    <w:rsid w:val="00A04394"/>
    <w:rsid w:val="00A15FE8"/>
    <w:rsid w:val="00A24948"/>
    <w:rsid w:val="00A31986"/>
    <w:rsid w:val="00A46D6A"/>
    <w:rsid w:val="00A65E79"/>
    <w:rsid w:val="00A67807"/>
    <w:rsid w:val="00A73DBA"/>
    <w:rsid w:val="00A817F8"/>
    <w:rsid w:val="00A84F56"/>
    <w:rsid w:val="00A901BE"/>
    <w:rsid w:val="00A92B73"/>
    <w:rsid w:val="00AA4653"/>
    <w:rsid w:val="00AA773E"/>
    <w:rsid w:val="00AC40F9"/>
    <w:rsid w:val="00AD30DD"/>
    <w:rsid w:val="00AF4942"/>
    <w:rsid w:val="00AF58A1"/>
    <w:rsid w:val="00B034E1"/>
    <w:rsid w:val="00B137FB"/>
    <w:rsid w:val="00B17A60"/>
    <w:rsid w:val="00B30EDF"/>
    <w:rsid w:val="00B31640"/>
    <w:rsid w:val="00B5148C"/>
    <w:rsid w:val="00B60BDD"/>
    <w:rsid w:val="00B6174A"/>
    <w:rsid w:val="00B65AAA"/>
    <w:rsid w:val="00B84E10"/>
    <w:rsid w:val="00B85866"/>
    <w:rsid w:val="00BA15B6"/>
    <w:rsid w:val="00BA5630"/>
    <w:rsid w:val="00BA5729"/>
    <w:rsid w:val="00BA5EC3"/>
    <w:rsid w:val="00BC26C8"/>
    <w:rsid w:val="00BC4201"/>
    <w:rsid w:val="00BD37DB"/>
    <w:rsid w:val="00BE1327"/>
    <w:rsid w:val="00C067E5"/>
    <w:rsid w:val="00C125D1"/>
    <w:rsid w:val="00C12D8B"/>
    <w:rsid w:val="00C4502C"/>
    <w:rsid w:val="00C55170"/>
    <w:rsid w:val="00C56925"/>
    <w:rsid w:val="00C97E01"/>
    <w:rsid w:val="00CA05C5"/>
    <w:rsid w:val="00CB5018"/>
    <w:rsid w:val="00CB6744"/>
    <w:rsid w:val="00CB67A4"/>
    <w:rsid w:val="00CC1819"/>
    <w:rsid w:val="00CC276D"/>
    <w:rsid w:val="00CD1BCB"/>
    <w:rsid w:val="00CD6879"/>
    <w:rsid w:val="00CE38B9"/>
    <w:rsid w:val="00CF323F"/>
    <w:rsid w:val="00CF41D0"/>
    <w:rsid w:val="00CF5CB7"/>
    <w:rsid w:val="00D25C28"/>
    <w:rsid w:val="00D310F7"/>
    <w:rsid w:val="00D448E3"/>
    <w:rsid w:val="00D455E2"/>
    <w:rsid w:val="00D46B80"/>
    <w:rsid w:val="00D47E10"/>
    <w:rsid w:val="00D60A18"/>
    <w:rsid w:val="00D634F1"/>
    <w:rsid w:val="00D63D92"/>
    <w:rsid w:val="00D71FF3"/>
    <w:rsid w:val="00DB51A9"/>
    <w:rsid w:val="00DC1D1A"/>
    <w:rsid w:val="00DC3E53"/>
    <w:rsid w:val="00DC5528"/>
    <w:rsid w:val="00DC7811"/>
    <w:rsid w:val="00DD07DC"/>
    <w:rsid w:val="00DD26C4"/>
    <w:rsid w:val="00DE4360"/>
    <w:rsid w:val="00DF14D1"/>
    <w:rsid w:val="00DF2F58"/>
    <w:rsid w:val="00DF4855"/>
    <w:rsid w:val="00E005C3"/>
    <w:rsid w:val="00E03E2E"/>
    <w:rsid w:val="00E05B1E"/>
    <w:rsid w:val="00E15102"/>
    <w:rsid w:val="00E233EE"/>
    <w:rsid w:val="00E41D3D"/>
    <w:rsid w:val="00E43046"/>
    <w:rsid w:val="00E51515"/>
    <w:rsid w:val="00E542AC"/>
    <w:rsid w:val="00E64310"/>
    <w:rsid w:val="00E72B3D"/>
    <w:rsid w:val="00E73046"/>
    <w:rsid w:val="00E9042B"/>
    <w:rsid w:val="00EB4E94"/>
    <w:rsid w:val="00EB709C"/>
    <w:rsid w:val="00EB7E32"/>
    <w:rsid w:val="00ED40C8"/>
    <w:rsid w:val="00EE31ED"/>
    <w:rsid w:val="00EF10A8"/>
    <w:rsid w:val="00EF2F4F"/>
    <w:rsid w:val="00F10CBE"/>
    <w:rsid w:val="00F27364"/>
    <w:rsid w:val="00F27586"/>
    <w:rsid w:val="00F44B4A"/>
    <w:rsid w:val="00F5070A"/>
    <w:rsid w:val="00F5247F"/>
    <w:rsid w:val="00F54FEA"/>
    <w:rsid w:val="00F64ED8"/>
    <w:rsid w:val="00F97974"/>
    <w:rsid w:val="00FA0641"/>
    <w:rsid w:val="00FA478A"/>
    <w:rsid w:val="00FA6B67"/>
    <w:rsid w:val="00FA6D5B"/>
    <w:rsid w:val="00FC5C28"/>
    <w:rsid w:val="00FD0C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604AE"/>
  <w15:docId w15:val="{D542781D-9FC1-4581-822C-C9273D1B5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53C6"/>
    <w:pPr>
      <w:spacing w:line="25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E53C6"/>
    <w:pPr>
      <w:ind w:left="720"/>
      <w:contextualSpacing/>
    </w:pPr>
  </w:style>
  <w:style w:type="character" w:customStyle="1" w:styleId="AkapitzlistZnak">
    <w:name w:val="Akapit z listą Znak"/>
    <w:link w:val="Akapitzlist"/>
    <w:uiPriority w:val="34"/>
    <w:locked/>
    <w:rsid w:val="006E53C6"/>
    <w:rPr>
      <w:kern w:val="0"/>
      <w14:ligatures w14:val="none"/>
    </w:rPr>
  </w:style>
  <w:style w:type="character" w:styleId="Hipercze">
    <w:name w:val="Hyperlink"/>
    <w:basedOn w:val="Domylnaczcionkaakapitu"/>
    <w:uiPriority w:val="99"/>
    <w:semiHidden/>
    <w:unhideWhenUsed/>
    <w:rsid w:val="00983B26"/>
    <w:rPr>
      <w:color w:val="0000FF"/>
      <w:u w:val="single"/>
    </w:rPr>
  </w:style>
  <w:style w:type="paragraph" w:styleId="Zwykytekst">
    <w:name w:val="Plain Text"/>
    <w:basedOn w:val="Normalny"/>
    <w:link w:val="ZwykytekstZnak"/>
    <w:uiPriority w:val="99"/>
    <w:semiHidden/>
    <w:unhideWhenUsed/>
    <w:rsid w:val="00CA05C5"/>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CA05C5"/>
    <w:rPr>
      <w:rFonts w:ascii="Calibri" w:hAnsi="Calibri"/>
      <w:kern w:val="0"/>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221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forlex.pl/dok/tresc,DZU.2019.079.0000741,USTAWA-z-dnia-15-wrzesnia-2000-r-o-referendum-lokalnym.htm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2486</TotalTime>
  <Pages>2</Pages>
  <Words>531</Words>
  <Characters>3187</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Lilla Zabielska</dc:creator>
  <cp:keywords/>
  <dc:description/>
  <cp:lastModifiedBy>Lilla Zabielska</cp:lastModifiedBy>
  <cp:revision>14</cp:revision>
  <cp:lastPrinted>2023-09-25T09:33:00Z</cp:lastPrinted>
  <dcterms:created xsi:type="dcterms:W3CDTF">2023-09-06T06:33:00Z</dcterms:created>
  <dcterms:modified xsi:type="dcterms:W3CDTF">2023-09-25T09:36:00Z</dcterms:modified>
</cp:coreProperties>
</file>