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85C8" w14:textId="77777777" w:rsidR="0058772A" w:rsidRPr="0058772A" w:rsidRDefault="0058772A" w:rsidP="0058772A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 w:rsidRPr="0058772A">
        <w:rPr>
          <w:rFonts w:ascii="Calibri" w:hAnsi="Calibri" w:cs="Calibri"/>
          <w:b/>
          <w:bCs/>
        </w:rPr>
        <w:t>Uchwała Nr SOK.0007.7.2022 Rady Gminy Jednorożec</w:t>
      </w:r>
      <w:r w:rsidRPr="0058772A">
        <w:rPr>
          <w:rFonts w:ascii="Calibri" w:hAnsi="Calibri" w:cs="Calibri"/>
          <w:b/>
          <w:bCs/>
        </w:rPr>
        <w:br/>
        <w:t>z dnia 10 marca 2022 roku</w:t>
      </w:r>
      <w:r w:rsidRPr="0058772A">
        <w:rPr>
          <w:rFonts w:ascii="Calibri" w:hAnsi="Calibri" w:cs="Calibri"/>
          <w:b/>
          <w:bCs/>
        </w:rPr>
        <w:br/>
        <w:t>zmieniająca uchwałę Nr SOK.0007.84.2021 Rady Gminy Jednorożec z dnia 29 grudnia 2021 roku w sprawie Wieloletniej Prognozy Finansowej Gminy Jednorożec na lata 2022 – 2029</w:t>
      </w:r>
    </w:p>
    <w:p w14:paraId="1BFB38ED" w14:textId="77777777" w:rsidR="0058772A" w:rsidRPr="0058772A" w:rsidRDefault="0058772A" w:rsidP="0058772A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0FC3ABD3" w14:textId="77777777" w:rsidR="0058772A" w:rsidRPr="0058772A" w:rsidRDefault="0058772A" w:rsidP="0058772A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7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772A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58772A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58772A">
        <w:rPr>
          <w:rFonts w:ascii="Calibri" w:hAnsi="Calibri" w:cs="Calibri"/>
          <w:color w:val="000000"/>
          <w:sz w:val="24"/>
          <w:szCs w:val="24"/>
        </w:rPr>
        <w:t xml:space="preserve"> Dz.U. 2021, poz. 305 z </w:t>
      </w:r>
      <w:proofErr w:type="spellStart"/>
      <w:r w:rsidRPr="0058772A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58772A"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60A37B51" w14:textId="77777777" w:rsidR="0058772A" w:rsidRPr="0058772A" w:rsidRDefault="0058772A" w:rsidP="0058772A">
      <w:pPr>
        <w:pStyle w:val="ZalParagraf"/>
        <w:spacing w:line="360" w:lineRule="auto"/>
        <w:jc w:val="both"/>
        <w:rPr>
          <w:sz w:val="24"/>
          <w:szCs w:val="24"/>
        </w:rPr>
      </w:pPr>
      <w:r w:rsidRPr="0058772A">
        <w:rPr>
          <w:rFonts w:ascii="Calibri" w:hAnsi="Calibri" w:cs="Calibr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2022 - 2029 wprowadza się następujące zmiany:</w:t>
      </w:r>
    </w:p>
    <w:p w14:paraId="7ABEBF12" w14:textId="77777777" w:rsidR="0058772A" w:rsidRPr="0058772A" w:rsidRDefault="0058772A" w:rsidP="0058772A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772A"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2022–2029 otrzymuje brzmienie jak w załączniku Nr 1 do niniejszej uchwały.</w:t>
      </w:r>
    </w:p>
    <w:p w14:paraId="02B4FDEB" w14:textId="77777777" w:rsidR="0058772A" w:rsidRPr="0058772A" w:rsidRDefault="0058772A" w:rsidP="0058772A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 w:rsidRPr="0058772A">
        <w:rPr>
          <w:rFonts w:ascii="Calibri" w:hAnsi="Calibri" w:cs="Calibri"/>
          <w:sz w:val="24"/>
          <w:szCs w:val="24"/>
        </w:rPr>
        <w:t>2. Załącznik Nr 2 "Wykaz przedsięwzięć do Wieloletniej Prognozy Finansowej Gminy Jednorożec realizowanych w latach 2022–2025" otrzymuje brzmienie</w:t>
      </w:r>
      <w:r w:rsidRPr="0058772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58772A">
        <w:rPr>
          <w:rFonts w:ascii="Calibri" w:hAnsi="Calibri" w:cs="Calibri"/>
          <w:sz w:val="24"/>
          <w:szCs w:val="24"/>
        </w:rPr>
        <w:t>jak w załączniku Nr 2 do niniejszej uchwały.</w:t>
      </w:r>
    </w:p>
    <w:p w14:paraId="747DD4E5" w14:textId="77777777" w:rsidR="0058772A" w:rsidRPr="0058772A" w:rsidRDefault="0058772A" w:rsidP="0058772A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 w:rsidRPr="0058772A"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2022-2029.</w:t>
      </w:r>
      <w:r w:rsidRPr="0058772A">
        <w:rPr>
          <w:sz w:val="24"/>
          <w:szCs w:val="24"/>
        </w:rPr>
        <w:t xml:space="preserve"> </w:t>
      </w:r>
      <w:r w:rsidRPr="0058772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A5D3BB3" w14:textId="77777777" w:rsidR="0058772A" w:rsidRPr="0058772A" w:rsidRDefault="0058772A" w:rsidP="0058772A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 w:rsidRPr="0058772A"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05C7F8CE" w14:textId="77777777" w:rsidR="0058772A" w:rsidRPr="0058772A" w:rsidRDefault="0058772A" w:rsidP="0058772A">
      <w:pPr>
        <w:pStyle w:val="Normal"/>
        <w:spacing w:line="360" w:lineRule="auto"/>
        <w:jc w:val="both"/>
        <w:rPr>
          <w:rFonts w:ascii="Calibri" w:hAnsi="Calibri" w:cs="Calibri"/>
        </w:rPr>
      </w:pPr>
      <w:r w:rsidRPr="0058772A">
        <w:rPr>
          <w:rFonts w:ascii="Calibri" w:hAnsi="Calibri" w:cs="Calibri"/>
        </w:rPr>
        <w:t>§ 3. Uchwała wchodzi w życie z dniem podjęcia.</w:t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</w:p>
    <w:p w14:paraId="63A0A1D8" w14:textId="77777777" w:rsidR="0058772A" w:rsidRPr="0058772A" w:rsidRDefault="0058772A" w:rsidP="0058772A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246DBF5A" w14:textId="77777777" w:rsidR="0058772A" w:rsidRPr="0058772A" w:rsidRDefault="0058772A" w:rsidP="0058772A">
      <w:pPr>
        <w:pStyle w:val="Normal"/>
        <w:spacing w:line="360" w:lineRule="auto"/>
        <w:jc w:val="both"/>
        <w:rPr>
          <w:rFonts w:ascii="Calibri" w:hAnsi="Calibri" w:cs="Calibri"/>
        </w:rPr>
      </w:pP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  <w:t>Przewodniczący Rady Gminy Jednorożec</w:t>
      </w:r>
    </w:p>
    <w:p w14:paraId="2152980B" w14:textId="7A0E8469" w:rsidR="0058772A" w:rsidRDefault="0058772A" w:rsidP="0058772A">
      <w:pPr>
        <w:pStyle w:val="Normal"/>
        <w:spacing w:line="360" w:lineRule="auto"/>
        <w:jc w:val="both"/>
        <w:rPr>
          <w:rFonts w:ascii="Calibri" w:hAnsi="Calibri" w:cs="Calibri"/>
        </w:rPr>
      </w:pP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</w:r>
      <w:r w:rsidRPr="0058772A">
        <w:rPr>
          <w:rFonts w:ascii="Calibri" w:hAnsi="Calibri" w:cs="Calibri"/>
        </w:rPr>
        <w:tab/>
        <w:t>/-/ Cezary Wójcik</w:t>
      </w:r>
    </w:p>
    <w:p w14:paraId="19FAA39D" w14:textId="3F636E11" w:rsidR="00204421" w:rsidRDefault="00204421" w:rsidP="0058772A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64824635" w14:textId="74CC5CC2" w:rsidR="00204421" w:rsidRDefault="00204421" w:rsidP="0058772A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5F0F61D4" w14:textId="6C28FCD2" w:rsidR="00204421" w:rsidRDefault="00204421" w:rsidP="0058772A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7B77F953" w14:textId="44A4DADD" w:rsidR="00204421" w:rsidRDefault="00204421" w:rsidP="0058772A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036D37EA" w14:textId="1006C781" w:rsidR="00204421" w:rsidRDefault="00204421" w:rsidP="0058772A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6F205BE1" w14:textId="4771B389" w:rsidR="00204421" w:rsidRDefault="00204421" w:rsidP="0058772A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276B3739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573255CE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112A058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029E2803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42.632.970,39 zł</w:t>
      </w:r>
      <w:r w:rsidRPr="00204421">
        <w:rPr>
          <w:rFonts w:ascii="Calibri" w:hAnsi="Calibri" w:cs="Calibri"/>
          <w:color w:val="000000"/>
          <w:sz w:val="24"/>
          <w:szCs w:val="24"/>
        </w:rPr>
        <w:t>, w tym:</w:t>
      </w:r>
    </w:p>
    <w:p w14:paraId="0871BEFB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color w:val="000000"/>
          <w:sz w:val="24"/>
          <w:szCs w:val="24"/>
        </w:rPr>
        <w:t>- dochody bieżące – 34.706.823,37 zł;</w:t>
      </w:r>
    </w:p>
    <w:p w14:paraId="0EB84608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color w:val="000000"/>
          <w:sz w:val="24"/>
          <w:szCs w:val="24"/>
        </w:rPr>
        <w:t xml:space="preserve"> - dochody majątkowe - 7.926.147,02 zł.</w:t>
      </w:r>
    </w:p>
    <w:p w14:paraId="4E6356C5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43.659.468,19 zł,</w:t>
      </w:r>
      <w:r w:rsidRPr="00204421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5404A529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color w:val="000000"/>
          <w:sz w:val="24"/>
          <w:szCs w:val="24"/>
        </w:rPr>
        <w:t>- wydatki bieżące - 33.969.228,56 zł;</w:t>
      </w:r>
    </w:p>
    <w:p w14:paraId="5140F31B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color w:val="000000"/>
          <w:sz w:val="24"/>
          <w:szCs w:val="24"/>
        </w:rPr>
        <w:t>- wydatki majątkowe - 9.690.239,63 zł.</w:t>
      </w:r>
    </w:p>
    <w:p w14:paraId="43BB2B26" w14:textId="77777777" w:rsidR="00204421" w:rsidRPr="00204421" w:rsidRDefault="00204421" w:rsidP="0020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>3. Przychody w kwocie 2.126.497,80 zł</w:t>
      </w:r>
      <w:r w:rsidRPr="00204421">
        <w:rPr>
          <w:rFonts w:ascii="Calibri" w:hAnsi="Calibri" w:cs="Calibri"/>
          <w:color w:val="000000"/>
          <w:sz w:val="24"/>
          <w:szCs w:val="24"/>
        </w:rPr>
        <w:t xml:space="preserve"> - 1.600.000,00 zł emisja obligacji komunalnych</w:t>
      </w:r>
      <w:r w:rsidRPr="00204421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204421">
        <w:rPr>
          <w:rFonts w:ascii="Calibri" w:hAnsi="Calibri" w:cs="Calibri"/>
          <w:color w:val="000000"/>
          <w:sz w:val="24"/>
          <w:szCs w:val="24"/>
        </w:rPr>
        <w:t xml:space="preserve">(planowany wykup 2028 rok - 600.000,00 zł, 2029 rok - 1.000.000,00 zł),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</w:t>
      </w:r>
      <w:proofErr w:type="spellStart"/>
      <w:r w:rsidRPr="00204421">
        <w:rPr>
          <w:rFonts w:ascii="Calibri" w:hAnsi="Calibri" w:cs="Calibri"/>
          <w:color w:val="000000"/>
          <w:sz w:val="24"/>
          <w:szCs w:val="24"/>
        </w:rPr>
        <w:t>przeciwdziałąnia</w:t>
      </w:r>
      <w:proofErr w:type="spellEnd"/>
      <w:r w:rsidRPr="00204421">
        <w:rPr>
          <w:rFonts w:ascii="Calibri" w:hAnsi="Calibri" w:cs="Calibri"/>
          <w:color w:val="000000"/>
          <w:sz w:val="24"/>
          <w:szCs w:val="24"/>
        </w:rPr>
        <w:t xml:space="preserve"> COVID-19 "Laboratoria Przyszłości"), 117.161,49 zł przychody z tytułu rozliczenia środków określonych w art. 5 ust. 1 pkt 2 ustawy i dotacji na realizację programu, projektu lub zadania finansowanego z udziałem tych środków (dochody z tytułu dotacji ERASMUS+), 105.782,95 zł wolne środki, o których mowa w art. 217 ust.2 pkt 6 ustawy.</w:t>
      </w:r>
    </w:p>
    <w:p w14:paraId="7E73308F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204421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241AE366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>5. Kwota długu - 7.600.000,00 zł</w:t>
      </w:r>
      <w:r w:rsidRPr="00204421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369286DD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5,17 %, przy dopuszczalnej spłacie 21,53 %</w:t>
      </w:r>
      <w:r w:rsidRPr="002044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4C98B7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1.026.497,80 zł </w:t>
      </w:r>
      <w:r w:rsidRPr="00204421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500.000,00 zł, przychodami z tytułu niewykorzystanych środków pieniężnych na rachunku bieżącym budżetu, wynikających z rozliczenia dochodów i wydatków nimi finansowanych związanych ze szczególnymi zasadami wykonania budżetu określonymi w odrębnych ustawach w kwocie 303.553,36 zł, z rozliczenia środków określonych w art.5 ust. 1 pkt 2 ustawy i dotacji na realizację programu, projektu lub zadania finansowanego z udziałem </w:t>
      </w:r>
      <w:r w:rsidRPr="00204421">
        <w:rPr>
          <w:rFonts w:ascii="Calibri" w:hAnsi="Calibri" w:cs="Calibri"/>
          <w:color w:val="000000"/>
          <w:sz w:val="24"/>
          <w:szCs w:val="24"/>
        </w:rPr>
        <w:lastRenderedPageBreak/>
        <w:t>tych środków w kwocie 117.161,49 zł oraz z wolnych środków, o których mowa w art. 217 ust.2 pkt 6 ustawy w kwocie 105.782,95 zł.</w:t>
      </w:r>
    </w:p>
    <w:p w14:paraId="4B8B6272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C9192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965EE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>PRZEDSIĘWZIĘCIA ROK 2022</w:t>
      </w:r>
    </w:p>
    <w:p w14:paraId="754837C5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E907860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color w:val="000000"/>
          <w:sz w:val="24"/>
          <w:szCs w:val="24"/>
        </w:rPr>
        <w:t>I. WYDATKI MAJĄTKOWE</w:t>
      </w:r>
    </w:p>
    <w:p w14:paraId="3766E5CC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421">
        <w:rPr>
          <w:rFonts w:ascii="Calibri" w:hAnsi="Calibri" w:cs="Calibri"/>
          <w:color w:val="000000"/>
          <w:sz w:val="24"/>
          <w:szCs w:val="24"/>
        </w:rPr>
        <w:t>-</w:t>
      </w: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 xml:space="preserve"> "Zakup gruntów"</w:t>
      </w:r>
      <w:r w:rsidRPr="00204421">
        <w:rPr>
          <w:rFonts w:ascii="Calibri" w:hAnsi="Calibri" w:cs="Calibri"/>
          <w:color w:val="000000"/>
          <w:sz w:val="24"/>
          <w:szCs w:val="24"/>
        </w:rPr>
        <w:t xml:space="preserve"> - celem zadania jest zwiększenie mienia Gminy Jednorożec poprzez zakup i przejmowanie na własność gruntów. Przedsięwzięcie realizowane w latach 2016 - 2022 przez Urząd Gminy w Jednorożcu w łącznej kwocie 455.160,16 zł, w roku 2022 - 8.200,00 zł</w:t>
      </w:r>
      <w:r w:rsidRPr="002044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8AA4BF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04421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04421">
        <w:rPr>
          <w:rFonts w:ascii="Calibri" w:hAnsi="Calibri" w:cs="Calibri"/>
          <w:b/>
          <w:bCs/>
          <w:color w:val="000000"/>
          <w:sz w:val="24"/>
          <w:szCs w:val="24"/>
        </w:rPr>
        <w:t>"Modernizacja strażnicy OSP Parciaki</w:t>
      </w:r>
      <w:r w:rsidRPr="00204421">
        <w:rPr>
          <w:rFonts w:ascii="Calibri" w:hAnsi="Calibri" w:cs="Calibri"/>
          <w:color w:val="000000"/>
          <w:sz w:val="24"/>
          <w:szCs w:val="24"/>
        </w:rPr>
        <w:t>" - zwiększa się limit wydatków na 2022 rok w kwocie 3.500,00 zł.</w:t>
      </w:r>
    </w:p>
    <w:p w14:paraId="3EDEDA80" w14:textId="77777777" w:rsidR="00204421" w:rsidRPr="00204421" w:rsidRDefault="00204421" w:rsidP="002044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015EB7" w14:textId="77777777" w:rsidR="00204421" w:rsidRPr="0058772A" w:rsidRDefault="00204421" w:rsidP="0058772A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789FA83F" w14:textId="77777777" w:rsidR="0058772A" w:rsidRPr="0058772A" w:rsidRDefault="0058772A" w:rsidP="0058772A">
      <w:pPr>
        <w:pStyle w:val="Normal"/>
        <w:spacing w:line="360" w:lineRule="auto"/>
        <w:rPr>
          <w:rFonts w:ascii="Calibri" w:hAnsi="Calibri" w:cs="Calibri"/>
        </w:rPr>
      </w:pPr>
    </w:p>
    <w:p w14:paraId="09E5A768" w14:textId="77777777" w:rsidR="00C20209" w:rsidRPr="0058772A" w:rsidRDefault="00C20209">
      <w:pPr>
        <w:rPr>
          <w:sz w:val="24"/>
          <w:szCs w:val="24"/>
        </w:rPr>
      </w:pPr>
    </w:p>
    <w:p w14:paraId="7090F5B7" w14:textId="77777777" w:rsidR="0058772A" w:rsidRPr="0058772A" w:rsidRDefault="0058772A">
      <w:pPr>
        <w:rPr>
          <w:sz w:val="24"/>
          <w:szCs w:val="24"/>
        </w:rPr>
      </w:pPr>
    </w:p>
    <w:sectPr w:rsidR="0058772A" w:rsidRPr="0058772A" w:rsidSect="006313B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D3"/>
    <w:rsid w:val="00204421"/>
    <w:rsid w:val="005312D3"/>
    <w:rsid w:val="0058772A"/>
    <w:rsid w:val="00C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DE7B"/>
  <w15:chartTrackingRefBased/>
  <w15:docId w15:val="{1CC260AD-1515-4115-8A0A-39A0A026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877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58772A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58772A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58772A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204421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2022-03-10T11:58:00Z</dcterms:created>
  <dcterms:modified xsi:type="dcterms:W3CDTF">2022-03-10T12:00:00Z</dcterms:modified>
</cp:coreProperties>
</file>