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C4B5" w14:textId="63652B31" w:rsidR="00A6420C" w:rsidRPr="00D434E3" w:rsidRDefault="00A87909" w:rsidP="00A27B8B">
      <w:pPr>
        <w:pStyle w:val="Nagwek40"/>
        <w:keepNext/>
        <w:keepLines/>
        <w:shd w:val="clear" w:color="auto" w:fill="auto"/>
        <w:spacing w:before="0" w:after="0" w:line="360" w:lineRule="auto"/>
        <w:ind w:left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bookmark4"/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UCHWAŁA NR </w:t>
      </w:r>
      <w:r w:rsidR="00D434E3"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>SOK.0007.42.2022</w:t>
      </w:r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RADY GMINY </w:t>
      </w:r>
      <w:bookmarkEnd w:id="0"/>
      <w:r w:rsidR="00A27B8B"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>JEDNOROŻEC</w:t>
      </w:r>
    </w:p>
    <w:p w14:paraId="14135F80" w14:textId="0176A344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left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D434E3"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 września </w:t>
      </w:r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A27B8B"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>22</w:t>
      </w:r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</w:p>
    <w:p w14:paraId="46435BD6" w14:textId="09E0FF42" w:rsidR="00A6420C" w:rsidRPr="00D434E3" w:rsidRDefault="00A87909" w:rsidP="00A27B8B">
      <w:pPr>
        <w:pStyle w:val="Nagwek40"/>
        <w:keepNext/>
        <w:keepLines/>
        <w:shd w:val="clear" w:color="auto" w:fill="auto"/>
        <w:spacing w:before="0" w:after="0" w:line="360" w:lineRule="auto"/>
        <w:ind w:left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bookmark5"/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sprawie określenia zasad i trybu przeprowadzenia konsultacji z mieszkańcami Gminy </w:t>
      </w:r>
      <w:r w:rsidR="00A27B8B"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Jednorożec </w:t>
      </w:r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sprawie nowego projektu Statutów Sołectw Gminy </w:t>
      </w:r>
      <w:r w:rsidR="00847DD7"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bookmarkEnd w:id="1"/>
    </w:p>
    <w:p w14:paraId="0C87AEE9" w14:textId="4C4DDF22" w:rsidR="00A27B8B" w:rsidRPr="00D434E3" w:rsidRDefault="00A27B8B" w:rsidP="00A27B8B">
      <w:pPr>
        <w:pStyle w:val="Nagwek40"/>
        <w:keepNext/>
        <w:keepLines/>
        <w:shd w:val="clear" w:color="auto" w:fill="auto"/>
        <w:spacing w:before="0" w:after="0" w:line="360" w:lineRule="auto"/>
        <w:ind w:left="120"/>
        <w:rPr>
          <w:rFonts w:ascii="Arial" w:hAnsi="Arial" w:cs="Arial"/>
          <w:color w:val="000000" w:themeColor="text1"/>
          <w:sz w:val="24"/>
          <w:szCs w:val="24"/>
        </w:rPr>
      </w:pPr>
    </w:p>
    <w:p w14:paraId="627607EC" w14:textId="77777777" w:rsidR="00A27B8B" w:rsidRPr="00D434E3" w:rsidRDefault="00A27B8B" w:rsidP="00A27B8B">
      <w:pPr>
        <w:pStyle w:val="Nagwek40"/>
        <w:keepNext/>
        <w:keepLines/>
        <w:shd w:val="clear" w:color="auto" w:fill="auto"/>
        <w:spacing w:before="0" w:after="0" w:line="360" w:lineRule="auto"/>
        <w:ind w:left="120"/>
        <w:rPr>
          <w:rFonts w:ascii="Arial" w:hAnsi="Arial" w:cs="Arial"/>
          <w:color w:val="000000" w:themeColor="text1"/>
          <w:sz w:val="24"/>
          <w:szCs w:val="24"/>
        </w:rPr>
      </w:pPr>
    </w:p>
    <w:p w14:paraId="2126EC46" w14:textId="53F63101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firstLine="1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Na podstawie art. 5a ust. 2 i art. 35 ust. 1 ustawy z dnia 8 marca 1990</w:t>
      </w:r>
      <w:r w:rsidR="00DD6348" w:rsidRPr="00D434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r. o samorządzie gminnym (Dz. U. z </w:t>
      </w:r>
      <w:r w:rsidR="00765F1E" w:rsidRPr="00D434E3">
        <w:rPr>
          <w:rFonts w:ascii="Arial" w:hAnsi="Arial" w:cs="Arial"/>
          <w:color w:val="000000" w:themeColor="text1"/>
          <w:sz w:val="24"/>
          <w:szCs w:val="24"/>
        </w:rPr>
        <w:t xml:space="preserve">2022 poz. 559 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ze zm.) Rada Gminy </w:t>
      </w:r>
      <w:r w:rsidR="00765F1E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uchwala, co następuje:</w:t>
      </w:r>
    </w:p>
    <w:p w14:paraId="6D42F080" w14:textId="2A0DA1FC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right="1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§ 1. Postanawia się przeprowadzić konsultacje z mieszkańcami we wszystkich sołectwach Gminy </w:t>
      </w:r>
      <w:r w:rsidR="00F75ADD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celem zaopiniowania projektu statutów sołectw Gminy </w:t>
      </w:r>
      <w:r w:rsidR="00F75ADD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114BBF" w14:textId="77777777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right="1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§ 2. 1. Konsultacje z mieszkańcami poszczególnych sołectw przeprowadza się w celu umożliwienia im wyrażania pisemnych opinii, zgłaszania uwag i propozycji do zaproponowanych projektów.</w:t>
      </w:r>
    </w:p>
    <w:p w14:paraId="7E93B1EE" w14:textId="77777777" w:rsidR="00A6420C" w:rsidRPr="00D434E3" w:rsidRDefault="00A87909" w:rsidP="00A27B8B">
      <w:pPr>
        <w:pStyle w:val="Teksttreci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Do udziału w konsultacjach uprawnione są osoby stale zamieszkałe na terenie danego sołectwa.</w:t>
      </w:r>
    </w:p>
    <w:p w14:paraId="031DE59C" w14:textId="77777777" w:rsidR="00A6420C" w:rsidRPr="00D434E3" w:rsidRDefault="00A87909" w:rsidP="00A27B8B">
      <w:pPr>
        <w:pStyle w:val="Teksttreci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Projekt statutów Sołectw zostanie wyłożony do publicznego wglądu na okres 14 dni</w:t>
      </w:r>
    </w:p>
    <w:p w14:paraId="2CFE45C0" w14:textId="21940E41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w Urzędzie Gminy </w:t>
      </w:r>
      <w:r w:rsidR="00F75ADD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, a także na stronie internetowej </w:t>
      </w:r>
      <w:hyperlink r:id="rId7" w:history="1">
        <w:r w:rsidR="00F75ADD" w:rsidRPr="00D434E3">
          <w:rPr>
            <w:rStyle w:val="Hipercze"/>
            <w:rFonts w:ascii="Arial" w:hAnsi="Arial" w:cs="Arial"/>
            <w:color w:val="000000" w:themeColor="text1"/>
            <w:sz w:val="24"/>
            <w:szCs w:val="24"/>
            <w:lang w:val="en-US" w:eastAsia="en-US" w:bidi="en-US"/>
          </w:rPr>
          <w:t>www.jednorozec.pl</w:t>
        </w:r>
      </w:hyperlink>
      <w:r w:rsidRPr="00D434E3">
        <w:rPr>
          <w:rFonts w:ascii="Arial" w:hAnsi="Arial" w:cs="Arial"/>
          <w:color w:val="000000" w:themeColor="text1"/>
          <w:sz w:val="24"/>
          <w:szCs w:val="24"/>
          <w:lang w:val="en-US" w:eastAsia="en-US" w:bidi="en-US"/>
        </w:rPr>
        <w:t>.</w:t>
      </w:r>
    </w:p>
    <w:p w14:paraId="31C69372" w14:textId="04ECCEDA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right="1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§ 3. O terminie i miejscu wyłożenia projekt</w:t>
      </w:r>
      <w:r w:rsidR="00E5499A" w:rsidRPr="00D434E3">
        <w:rPr>
          <w:rFonts w:ascii="Arial" w:hAnsi="Arial" w:cs="Arial"/>
          <w:color w:val="000000" w:themeColor="text1"/>
          <w:sz w:val="24"/>
          <w:szCs w:val="24"/>
        </w:rPr>
        <w:t>u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statutów Wójt Gminy </w:t>
      </w:r>
      <w:r w:rsidR="00F75ADD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zawiadomi mieszkańców poprzez umieszczenie informacji w tym zakresie na tablicy ogłoszeń Urzędu Gminy w </w:t>
      </w:r>
      <w:r w:rsidR="00E515E3" w:rsidRPr="00D434E3">
        <w:rPr>
          <w:rFonts w:ascii="Arial" w:hAnsi="Arial" w:cs="Arial"/>
          <w:color w:val="000000" w:themeColor="text1"/>
          <w:sz w:val="24"/>
          <w:szCs w:val="24"/>
        </w:rPr>
        <w:t>Jednorożcu</w:t>
      </w:r>
      <w:r w:rsidR="00ED27B3" w:rsidRPr="00D434E3">
        <w:rPr>
          <w:rFonts w:ascii="Arial" w:hAnsi="Arial" w:cs="Arial"/>
          <w:color w:val="000000" w:themeColor="text1"/>
          <w:sz w:val="24"/>
          <w:szCs w:val="24"/>
        </w:rPr>
        <w:t>,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tablic</w:t>
      </w:r>
      <w:r w:rsidR="00E5499A" w:rsidRPr="00D434E3">
        <w:rPr>
          <w:rFonts w:ascii="Arial" w:hAnsi="Arial" w:cs="Arial"/>
          <w:color w:val="000000" w:themeColor="text1"/>
          <w:sz w:val="24"/>
          <w:szCs w:val="24"/>
        </w:rPr>
        <w:t>ach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w poszczególnych sołectwach oraz na stronie </w:t>
      </w:r>
      <w:hyperlink r:id="rId8" w:history="1">
        <w:r w:rsidR="00ED27B3" w:rsidRPr="00D434E3">
          <w:rPr>
            <w:rStyle w:val="Hipercze"/>
            <w:rFonts w:ascii="Arial" w:hAnsi="Arial" w:cs="Arial"/>
            <w:color w:val="000000" w:themeColor="text1"/>
            <w:sz w:val="24"/>
            <w:szCs w:val="24"/>
            <w:lang w:val="en-US" w:eastAsia="en-US" w:bidi="en-US"/>
          </w:rPr>
          <w:t>www.jednorozec.pl</w:t>
        </w:r>
      </w:hyperlink>
      <w:r w:rsidRPr="00D434E3">
        <w:rPr>
          <w:rFonts w:ascii="Arial" w:hAnsi="Arial" w:cs="Arial"/>
          <w:color w:val="000000" w:themeColor="text1"/>
          <w:sz w:val="24"/>
          <w:szCs w:val="24"/>
          <w:lang w:val="en-US" w:eastAsia="en-US" w:bidi="en-US"/>
        </w:rPr>
        <w:t>.</w:t>
      </w:r>
    </w:p>
    <w:p w14:paraId="2A134BD7" w14:textId="77777777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§ 4. 1. Wzór karty konsultacyjnej określa załącznik nr 1 do uchwały.</w:t>
      </w:r>
    </w:p>
    <w:p w14:paraId="41513F43" w14:textId="01629D07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right="1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2. Pisemne zgłoszenia uwag i opinii dotyczących projektów przyjmowane będą w Urzędzie Gminy</w:t>
      </w:r>
      <w:r w:rsidR="00E515E3" w:rsidRPr="00D434E3">
        <w:rPr>
          <w:rFonts w:ascii="Arial" w:hAnsi="Arial" w:cs="Arial"/>
          <w:color w:val="000000" w:themeColor="text1"/>
          <w:sz w:val="24"/>
          <w:szCs w:val="24"/>
        </w:rPr>
        <w:t xml:space="preserve"> w Jednorożcu 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w okresie ich wyłożenia, za pomocą poczty elektronicznej </w:t>
      </w:r>
      <w:hyperlink r:id="rId9" w:history="1">
        <w:r w:rsidR="00E515E3" w:rsidRPr="00D434E3">
          <w:rPr>
            <w:rStyle w:val="Hipercze"/>
            <w:rFonts w:ascii="Arial" w:hAnsi="Arial" w:cs="Arial"/>
            <w:color w:val="000000" w:themeColor="text1"/>
            <w:sz w:val="24"/>
            <w:szCs w:val="24"/>
            <w:lang w:val="en-US" w:eastAsia="en-US" w:bidi="en-US"/>
          </w:rPr>
          <w:t>gmina@jednorozec.pl</w:t>
        </w:r>
      </w:hyperlink>
      <w:r w:rsidRPr="00D434E3">
        <w:rPr>
          <w:rFonts w:ascii="Arial" w:hAnsi="Arial" w:cs="Arial"/>
          <w:color w:val="000000" w:themeColor="text1"/>
          <w:sz w:val="24"/>
          <w:szCs w:val="24"/>
          <w:lang w:val="en-US" w:eastAsia="en-US" w:bidi="en-US"/>
        </w:rPr>
        <w:t xml:space="preserve"> 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>oraz w Biuletynie Informacji Publicznej.</w:t>
      </w:r>
    </w:p>
    <w:p w14:paraId="64F4C41B" w14:textId="77777777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§ 5. 1. Wyniki konsultacji społecznych nie są wiążące dla organów Gminy i mają charakter opiniodawczy.</w:t>
      </w:r>
    </w:p>
    <w:p w14:paraId="1D1426B0" w14:textId="77777777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2. Zbiorcze wyniki będą przedstawione w formie protokołu, który powinien zawierać.</w:t>
      </w:r>
    </w:p>
    <w:p w14:paraId="291CF07A" w14:textId="77777777" w:rsidR="00A6420C" w:rsidRPr="00D434E3" w:rsidRDefault="00A87909" w:rsidP="00A27B8B">
      <w:pPr>
        <w:pStyle w:val="Teksttreci20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0" w:line="360" w:lineRule="auto"/>
        <w:ind w:firstLine="1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przedmiot konsultacji,</w:t>
      </w:r>
    </w:p>
    <w:p w14:paraId="5642372F" w14:textId="77777777" w:rsidR="00A6420C" w:rsidRPr="00D434E3" w:rsidRDefault="00A87909" w:rsidP="00A27B8B">
      <w:pPr>
        <w:pStyle w:val="Teksttreci20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360" w:lineRule="auto"/>
        <w:ind w:firstLine="1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termin konsultacji,</w:t>
      </w:r>
    </w:p>
    <w:p w14:paraId="454BEF20" w14:textId="77777777" w:rsidR="00A6420C" w:rsidRPr="00D434E3" w:rsidRDefault="00A87909" w:rsidP="00A27B8B">
      <w:pPr>
        <w:pStyle w:val="Teksttreci20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360" w:lineRule="auto"/>
        <w:ind w:firstLine="1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przebieg konsultacji,</w:t>
      </w:r>
    </w:p>
    <w:p w14:paraId="0D216B6E" w14:textId="77777777" w:rsidR="00A6420C" w:rsidRPr="00D434E3" w:rsidRDefault="00A87909" w:rsidP="00A27B8B">
      <w:pPr>
        <w:pStyle w:val="Teksttreci20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360" w:lineRule="auto"/>
        <w:ind w:firstLine="1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forma przeprowadzonych konsultacji,</w:t>
      </w:r>
    </w:p>
    <w:p w14:paraId="56231567" w14:textId="77777777" w:rsidR="00A6420C" w:rsidRPr="00D434E3" w:rsidRDefault="00A87909" w:rsidP="00A27B8B">
      <w:pPr>
        <w:pStyle w:val="Teksttreci20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360" w:lineRule="auto"/>
        <w:ind w:firstLine="16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lastRenderedPageBreak/>
        <w:t>wyniki konsultacji.</w:t>
      </w:r>
    </w:p>
    <w:p w14:paraId="49D3A64F" w14:textId="77777777" w:rsidR="00E515E3" w:rsidRPr="00D434E3" w:rsidRDefault="00A87909" w:rsidP="00E515E3">
      <w:pPr>
        <w:pStyle w:val="Teksttreci20"/>
        <w:shd w:val="clear" w:color="auto" w:fill="auto"/>
        <w:spacing w:before="0" w:after="0" w:line="360" w:lineRule="auto"/>
        <w:ind w:right="1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§ 6. Niezwłocznie po upływie terminu na przeprowadzenie konsultacji Wójt Gminy </w:t>
      </w:r>
      <w:r w:rsidR="00E515E3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przestawi Radzie Gminy </w:t>
      </w:r>
      <w:r w:rsidR="00E515E3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 wyniki konsultacji. Wyniki zostaną podane także do publicznej wiadomości poprzez umieszczenie ich na tablicy ogłoszeń Urzędu Gminy </w:t>
      </w:r>
      <w:r w:rsidR="00E515E3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, a także na stronie internetowej </w:t>
      </w:r>
      <w:hyperlink r:id="rId10" w:history="1">
        <w:r w:rsidR="00E515E3" w:rsidRPr="00D434E3">
          <w:rPr>
            <w:rStyle w:val="Hipercze"/>
            <w:rFonts w:ascii="Arial" w:hAnsi="Arial" w:cs="Arial"/>
            <w:color w:val="000000" w:themeColor="text1"/>
            <w:sz w:val="24"/>
            <w:szCs w:val="24"/>
            <w:lang w:val="en-US" w:eastAsia="en-US" w:bidi="en-US"/>
          </w:rPr>
          <w:t>www.jednorozec.pl</w:t>
        </w:r>
      </w:hyperlink>
      <w:r w:rsidRPr="00D434E3">
        <w:rPr>
          <w:rFonts w:ascii="Arial" w:hAnsi="Arial" w:cs="Arial"/>
          <w:color w:val="000000" w:themeColor="text1"/>
          <w:sz w:val="24"/>
          <w:szCs w:val="24"/>
          <w:lang w:val="en-US" w:eastAsia="en-US" w:bidi="en-US"/>
        </w:rPr>
        <w:t xml:space="preserve"> 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>oraz w Biuletynie Informacji Publicznej.</w:t>
      </w:r>
    </w:p>
    <w:p w14:paraId="5E280AA4" w14:textId="05078571" w:rsidR="00A6420C" w:rsidRPr="00D434E3" w:rsidRDefault="00A87909" w:rsidP="00E515E3">
      <w:pPr>
        <w:pStyle w:val="Teksttreci20"/>
        <w:shd w:val="clear" w:color="auto" w:fill="auto"/>
        <w:spacing w:before="0" w:after="0" w:line="360" w:lineRule="auto"/>
        <w:ind w:right="1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 xml:space="preserve">§ 7. Wykonanie uchwały powierza się Wójtowi Gminy </w:t>
      </w:r>
      <w:r w:rsidR="00B064EC" w:rsidRPr="00D434E3">
        <w:rPr>
          <w:rFonts w:ascii="Arial" w:hAnsi="Arial" w:cs="Arial"/>
          <w:color w:val="000000" w:themeColor="text1"/>
          <w:sz w:val="24"/>
          <w:szCs w:val="24"/>
        </w:rPr>
        <w:t>Jednorożec</w:t>
      </w:r>
      <w:r w:rsidRPr="00D434E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12D26A5" w14:textId="77777777" w:rsidR="00A6420C" w:rsidRPr="00D434E3" w:rsidRDefault="00A87909" w:rsidP="00A27B8B">
      <w:pPr>
        <w:pStyle w:val="Teksttreci20"/>
        <w:shd w:val="clear" w:color="auto" w:fill="auto"/>
        <w:spacing w:before="0" w:after="0" w:line="360" w:lineRule="auto"/>
        <w:ind w:firstLine="3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34E3">
        <w:rPr>
          <w:rFonts w:ascii="Arial" w:hAnsi="Arial" w:cs="Arial"/>
          <w:color w:val="000000" w:themeColor="text1"/>
          <w:sz w:val="24"/>
          <w:szCs w:val="24"/>
        </w:rPr>
        <w:t>§ 8. Uchwała wchodzi w życie po upływie 14 dni od dnia ogłoszenia w Dzienniku Urzędowym Województwa Mazowieckiego.</w:t>
      </w:r>
    </w:p>
    <w:p w14:paraId="21E1020F" w14:textId="77777777" w:rsidR="00B064EC" w:rsidRDefault="00B064EC" w:rsidP="006875B0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62EA5580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6D586B99" w14:textId="14EF9E95" w:rsidR="006875B0" w:rsidRPr="006875B0" w:rsidRDefault="006875B0" w:rsidP="006875B0">
      <w:pPr>
        <w:pStyle w:val="Teksttreci20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6875B0">
        <w:rPr>
          <w:rFonts w:ascii="Arial" w:hAnsi="Arial" w:cs="Arial"/>
          <w:sz w:val="24"/>
          <w:szCs w:val="24"/>
        </w:rPr>
        <w:t>Przewodniczący Rady Gminy Jednorożec</w:t>
      </w:r>
    </w:p>
    <w:p w14:paraId="5202C2B8" w14:textId="7D5EEC4F" w:rsidR="00B064EC" w:rsidRDefault="006875B0" w:rsidP="006875B0">
      <w:pPr>
        <w:pStyle w:val="Teksttreci20"/>
        <w:shd w:val="clear" w:color="auto" w:fill="auto"/>
        <w:spacing w:before="0" w:after="0" w:line="360" w:lineRule="auto"/>
        <w:ind w:left="59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875B0">
        <w:rPr>
          <w:rFonts w:ascii="Arial" w:hAnsi="Arial" w:cs="Arial"/>
          <w:sz w:val="24"/>
          <w:szCs w:val="24"/>
        </w:rPr>
        <w:t>/-/ Cezary Wójcik</w:t>
      </w:r>
    </w:p>
    <w:p w14:paraId="236DE2D1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175C4604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1BE0B1F1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132F1E74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2AE6C4F2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0F36362B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0C80CA45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7D170151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1E9085E5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655C31AF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7C7EB3D8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0DFAC071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33CB4FA4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3765023F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4FD54771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7C7F4FC8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09FE7BF2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3D8C4EC1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44DA4528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6AA58695" w14:textId="77777777" w:rsidR="00B064EC" w:rsidRDefault="00B064EC" w:rsidP="00A27B8B">
      <w:pPr>
        <w:pStyle w:val="Teksttreci20"/>
        <w:shd w:val="clear" w:color="auto" w:fill="auto"/>
        <w:spacing w:before="0" w:after="0" w:line="360" w:lineRule="auto"/>
        <w:ind w:left="5960"/>
        <w:jc w:val="right"/>
        <w:rPr>
          <w:rFonts w:ascii="Arial" w:hAnsi="Arial" w:cs="Arial"/>
          <w:sz w:val="24"/>
          <w:szCs w:val="24"/>
        </w:rPr>
      </w:pPr>
    </w:p>
    <w:p w14:paraId="07B43FA0" w14:textId="77F58F95" w:rsidR="00A6420C" w:rsidRDefault="00A87909" w:rsidP="005C206B">
      <w:pPr>
        <w:pStyle w:val="Teksttreci20"/>
        <w:shd w:val="clear" w:color="auto" w:fill="auto"/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 xml:space="preserve">Załącznik nr 1 do uchwały Nr </w:t>
      </w:r>
      <w:r w:rsidR="005C206B">
        <w:rPr>
          <w:rFonts w:ascii="Arial" w:hAnsi="Arial" w:cs="Arial"/>
          <w:sz w:val="24"/>
          <w:szCs w:val="24"/>
        </w:rPr>
        <w:t>SOK.0007.42.2022</w:t>
      </w:r>
      <w:r w:rsidR="00847DD7">
        <w:rPr>
          <w:rFonts w:ascii="Arial" w:hAnsi="Arial" w:cs="Arial"/>
          <w:sz w:val="24"/>
          <w:szCs w:val="24"/>
        </w:rPr>
        <w:br/>
      </w:r>
      <w:r w:rsidRPr="00A27B8B">
        <w:rPr>
          <w:rFonts w:ascii="Arial" w:hAnsi="Arial" w:cs="Arial"/>
          <w:sz w:val="24"/>
          <w:szCs w:val="24"/>
        </w:rPr>
        <w:t xml:space="preserve">Rady Gminy </w:t>
      </w:r>
      <w:r w:rsidR="00847DD7">
        <w:rPr>
          <w:rFonts w:ascii="Arial" w:hAnsi="Arial" w:cs="Arial"/>
          <w:sz w:val="24"/>
          <w:szCs w:val="24"/>
        </w:rPr>
        <w:t xml:space="preserve">Jednorożec </w:t>
      </w:r>
      <w:r w:rsidRPr="00A27B8B">
        <w:rPr>
          <w:rFonts w:ascii="Arial" w:hAnsi="Arial" w:cs="Arial"/>
          <w:sz w:val="24"/>
          <w:szCs w:val="24"/>
        </w:rPr>
        <w:t xml:space="preserve"> z dnia </w:t>
      </w:r>
      <w:r w:rsidR="005C206B">
        <w:rPr>
          <w:rFonts w:ascii="Arial" w:hAnsi="Arial" w:cs="Arial"/>
          <w:sz w:val="24"/>
          <w:szCs w:val="24"/>
        </w:rPr>
        <w:t>7 września</w:t>
      </w:r>
      <w:r w:rsidRPr="00A27B8B">
        <w:rPr>
          <w:rFonts w:ascii="Arial" w:hAnsi="Arial" w:cs="Arial"/>
          <w:sz w:val="24"/>
          <w:szCs w:val="24"/>
        </w:rPr>
        <w:t xml:space="preserve"> 20</w:t>
      </w:r>
      <w:r w:rsidR="00847DD7">
        <w:rPr>
          <w:rFonts w:ascii="Arial" w:hAnsi="Arial" w:cs="Arial"/>
          <w:sz w:val="24"/>
          <w:szCs w:val="24"/>
        </w:rPr>
        <w:t>22</w:t>
      </w:r>
      <w:r w:rsidRPr="00A27B8B">
        <w:rPr>
          <w:rFonts w:ascii="Arial" w:hAnsi="Arial" w:cs="Arial"/>
          <w:sz w:val="24"/>
          <w:szCs w:val="24"/>
        </w:rPr>
        <w:t xml:space="preserve"> roku</w:t>
      </w:r>
    </w:p>
    <w:p w14:paraId="6FA558F1" w14:textId="77777777" w:rsidR="00847DD7" w:rsidRPr="00A27B8B" w:rsidRDefault="00847DD7" w:rsidP="00847DD7">
      <w:pPr>
        <w:pStyle w:val="Teksttreci20"/>
        <w:shd w:val="clear" w:color="auto" w:fill="auto"/>
        <w:spacing w:before="0" w:after="0" w:line="360" w:lineRule="auto"/>
        <w:ind w:left="4820"/>
        <w:jc w:val="left"/>
        <w:rPr>
          <w:rFonts w:ascii="Arial" w:hAnsi="Arial" w:cs="Arial"/>
          <w:sz w:val="24"/>
          <w:szCs w:val="24"/>
        </w:rPr>
      </w:pPr>
    </w:p>
    <w:p w14:paraId="28F99E50" w14:textId="276192B9" w:rsidR="00A6420C" w:rsidRPr="00A27B8B" w:rsidRDefault="00A87909" w:rsidP="00A27B8B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>KARTA KONSULTACYJNA FORMULARZA DO SKŁADANIA UWAG I PROPOZYCJI DO PROJEKTU</w:t>
      </w:r>
      <w:r w:rsidR="00847DD7">
        <w:rPr>
          <w:rFonts w:ascii="Arial" w:hAnsi="Arial" w:cs="Arial"/>
          <w:sz w:val="24"/>
          <w:szCs w:val="24"/>
        </w:rPr>
        <w:t xml:space="preserve"> </w:t>
      </w:r>
      <w:r w:rsidRPr="00A27B8B">
        <w:rPr>
          <w:rFonts w:ascii="Arial" w:hAnsi="Arial" w:cs="Arial"/>
          <w:sz w:val="24"/>
          <w:szCs w:val="24"/>
        </w:rPr>
        <w:t>UCHWAŁY W SPRAWIE PROJEKTÓW STATUTÓW</w:t>
      </w:r>
    </w:p>
    <w:p w14:paraId="0B3B3DF4" w14:textId="77777777" w:rsidR="00A6420C" w:rsidRPr="00A27B8B" w:rsidRDefault="00A87909" w:rsidP="00A27B8B">
      <w:pPr>
        <w:pStyle w:val="Teksttreci20"/>
        <w:numPr>
          <w:ilvl w:val="0"/>
          <w:numId w:val="3"/>
        </w:numPr>
        <w:shd w:val="clear" w:color="auto" w:fill="auto"/>
        <w:tabs>
          <w:tab w:val="left" w:pos="334"/>
          <w:tab w:val="left" w:leader="dot" w:pos="4442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>Imię i Nazwisko</w:t>
      </w:r>
      <w:r w:rsidRPr="00A27B8B">
        <w:rPr>
          <w:rFonts w:ascii="Arial" w:hAnsi="Arial" w:cs="Arial"/>
          <w:sz w:val="24"/>
          <w:szCs w:val="24"/>
        </w:rPr>
        <w:tab/>
      </w:r>
    </w:p>
    <w:p w14:paraId="7AC479C7" w14:textId="77777777" w:rsidR="00A6420C" w:rsidRPr="00A27B8B" w:rsidRDefault="00A87909" w:rsidP="00A27B8B">
      <w:pPr>
        <w:pStyle w:val="Teksttreci20"/>
        <w:numPr>
          <w:ilvl w:val="0"/>
          <w:numId w:val="3"/>
        </w:numPr>
        <w:shd w:val="clear" w:color="auto" w:fill="auto"/>
        <w:tabs>
          <w:tab w:val="left" w:pos="339"/>
          <w:tab w:val="left" w:leader="dot" w:pos="4442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>Adres</w:t>
      </w:r>
      <w:r w:rsidRPr="00A27B8B">
        <w:rPr>
          <w:rFonts w:ascii="Arial" w:hAnsi="Arial" w:cs="Arial"/>
          <w:sz w:val="24"/>
          <w:szCs w:val="24"/>
        </w:rPr>
        <w:tab/>
      </w:r>
    </w:p>
    <w:p w14:paraId="5E80B3B6" w14:textId="54BEE98D" w:rsidR="00A6420C" w:rsidRPr="00A27B8B" w:rsidRDefault="00A87909" w:rsidP="00A27B8B">
      <w:pPr>
        <w:pStyle w:val="Teksttreci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>Nazwa sołectwa, którego dotyczy zgłoszenie</w:t>
      </w:r>
      <w:r w:rsidR="00847DD7">
        <w:rPr>
          <w:rFonts w:ascii="Arial" w:hAnsi="Arial" w:cs="Arial"/>
          <w:sz w:val="24"/>
          <w:szCs w:val="24"/>
        </w:rPr>
        <w:t xml:space="preserve"> …………………………………..</w:t>
      </w:r>
    </w:p>
    <w:p w14:paraId="0A7B4707" w14:textId="77777777" w:rsidR="00A6420C" w:rsidRPr="00A27B8B" w:rsidRDefault="00A87909" w:rsidP="00A27B8B">
      <w:pPr>
        <w:pStyle w:val="Teksttreci20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>Zgłaszane uwagi i propozycje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234"/>
        <w:gridCol w:w="4637"/>
        <w:gridCol w:w="2698"/>
      </w:tblGrid>
      <w:tr w:rsidR="00A6420C" w:rsidRPr="00A27B8B" w14:paraId="5FDA2DFA" w14:textId="77777777">
        <w:trPr>
          <w:trHeight w:hRule="exact" w:val="130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9F53" w14:textId="538243C5" w:rsidR="00A6420C" w:rsidRPr="00A27B8B" w:rsidRDefault="00A87909" w:rsidP="00847DD7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7DD7">
              <w:rPr>
                <w:rStyle w:val="Teksttreci21"/>
                <w:rFonts w:ascii="Arial" w:hAnsi="Arial" w:cs="Arial"/>
                <w:sz w:val="24"/>
                <w:szCs w:val="24"/>
              </w:rPr>
              <w:t>L</w:t>
            </w: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D0D71" w14:textId="77777777" w:rsidR="00A6420C" w:rsidRPr="00A27B8B" w:rsidRDefault="00A87909" w:rsidP="00A27B8B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Wskazanie § w</w:t>
            </w:r>
          </w:p>
          <w:p w14:paraId="5C897D2B" w14:textId="77777777" w:rsidR="00A6420C" w:rsidRPr="00A27B8B" w:rsidRDefault="00A87909" w:rsidP="00A27B8B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projekcie</w:t>
            </w:r>
          </w:p>
          <w:p w14:paraId="2193C1A6" w14:textId="77777777" w:rsidR="00A6420C" w:rsidRPr="00A27B8B" w:rsidRDefault="00A87909" w:rsidP="00A27B8B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Statutu</w:t>
            </w:r>
          </w:p>
          <w:p w14:paraId="3C78CDC7" w14:textId="77777777" w:rsidR="00A6420C" w:rsidRPr="00A27B8B" w:rsidRDefault="00A87909" w:rsidP="00A27B8B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Sołectwa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2848" w14:textId="77777777" w:rsidR="00A6420C" w:rsidRPr="00A27B8B" w:rsidRDefault="00A87909" w:rsidP="00A27B8B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Treść wnoszonej propozycji, uwagi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1597" w14:textId="77777777" w:rsidR="00A6420C" w:rsidRPr="00A27B8B" w:rsidRDefault="00A87909" w:rsidP="00A27B8B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6420C" w:rsidRPr="00A27B8B" w14:paraId="50747C29" w14:textId="77777777">
        <w:trPr>
          <w:trHeight w:hRule="exact" w:val="24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2B965" w14:textId="77777777" w:rsidR="00A6420C" w:rsidRPr="00A27B8B" w:rsidRDefault="00A87909" w:rsidP="00847DD7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F2EE8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649B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B5E7B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</w:tr>
      <w:tr w:rsidR="00A6420C" w:rsidRPr="00A27B8B" w14:paraId="7EBBF745" w14:textId="77777777">
        <w:trPr>
          <w:trHeight w:hRule="exact" w:val="22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04E4" w14:textId="77777777" w:rsidR="00A6420C" w:rsidRPr="00A27B8B" w:rsidRDefault="00A87909" w:rsidP="00847DD7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6A0E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58304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FE189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</w:tr>
      <w:tr w:rsidR="00A6420C" w:rsidRPr="00A27B8B" w14:paraId="4B9BF5BF" w14:textId="77777777">
        <w:trPr>
          <w:trHeight w:hRule="exact" w:val="255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9FC3E" w14:textId="77777777" w:rsidR="00A6420C" w:rsidRPr="00A27B8B" w:rsidRDefault="00A87909" w:rsidP="00847DD7">
            <w:pPr>
              <w:pStyle w:val="Teksttreci20"/>
              <w:framePr w:w="9077" w:wrap="notBeside" w:vAnchor="text" w:hAnchor="text" w:y="1"/>
              <w:shd w:val="clear" w:color="auto" w:fill="auto"/>
              <w:spacing w:before="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7B8B">
              <w:rPr>
                <w:rStyle w:val="Teksttreci21"/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E98D5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A1A12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CD39" w14:textId="77777777" w:rsidR="00A6420C" w:rsidRPr="00A27B8B" w:rsidRDefault="00A6420C" w:rsidP="00A27B8B">
            <w:pPr>
              <w:framePr w:w="9077" w:wrap="notBeside" w:vAnchor="text" w:hAnchor="text" w:y="1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92F8BC2" w14:textId="77777777" w:rsidR="00A6420C" w:rsidRPr="00A27B8B" w:rsidRDefault="00A6420C" w:rsidP="00A27B8B">
      <w:pPr>
        <w:framePr w:w="9077" w:wrap="notBeside" w:vAnchor="text" w:hAnchor="text" w:y="1"/>
        <w:spacing w:line="360" w:lineRule="auto"/>
        <w:rPr>
          <w:rFonts w:ascii="Arial" w:hAnsi="Arial" w:cs="Arial"/>
        </w:rPr>
      </w:pPr>
    </w:p>
    <w:p w14:paraId="7011767A" w14:textId="77777777" w:rsidR="00A6420C" w:rsidRPr="00A27B8B" w:rsidRDefault="00A6420C" w:rsidP="00A27B8B">
      <w:pPr>
        <w:spacing w:line="360" w:lineRule="auto"/>
        <w:rPr>
          <w:rFonts w:ascii="Arial" w:hAnsi="Arial" w:cs="Arial"/>
        </w:rPr>
      </w:pPr>
    </w:p>
    <w:p w14:paraId="0E403A8A" w14:textId="2F462042" w:rsidR="00847DD7" w:rsidRPr="00847DD7" w:rsidRDefault="00A87909" w:rsidP="00847DD7">
      <w:pPr>
        <w:pStyle w:val="Teksttreci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27B8B">
        <w:rPr>
          <w:rFonts w:ascii="Arial" w:hAnsi="Arial" w:cs="Arial"/>
          <w:sz w:val="24"/>
          <w:szCs w:val="24"/>
        </w:rPr>
        <w:t>Podpis osoby składającej formularz</w:t>
      </w:r>
      <w:r w:rsidR="00847DD7">
        <w:rPr>
          <w:rFonts w:ascii="Arial" w:hAnsi="Arial" w:cs="Arial"/>
          <w:sz w:val="24"/>
          <w:szCs w:val="24"/>
        </w:rPr>
        <w:t xml:space="preserve">  ………………………………………</w:t>
      </w:r>
    </w:p>
    <w:sectPr w:rsidR="00847DD7" w:rsidRPr="00847DD7">
      <w:pgSz w:w="11900" w:h="16840"/>
      <w:pgMar w:top="1406" w:right="999" w:bottom="1406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CC57" w14:textId="77777777" w:rsidR="00BA65FE" w:rsidRDefault="00BA65FE">
      <w:r>
        <w:separator/>
      </w:r>
    </w:p>
  </w:endnote>
  <w:endnote w:type="continuationSeparator" w:id="0">
    <w:p w14:paraId="1B282BB7" w14:textId="77777777" w:rsidR="00BA65FE" w:rsidRDefault="00B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9F0AF" w14:textId="77777777" w:rsidR="00BA65FE" w:rsidRDefault="00BA65FE"/>
  </w:footnote>
  <w:footnote w:type="continuationSeparator" w:id="0">
    <w:p w14:paraId="108592D4" w14:textId="77777777" w:rsidR="00BA65FE" w:rsidRDefault="00BA6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0AE3"/>
    <w:multiLevelType w:val="multilevel"/>
    <w:tmpl w:val="F0605A2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FE5834"/>
    <w:multiLevelType w:val="multilevel"/>
    <w:tmpl w:val="11C6337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317488"/>
    <w:multiLevelType w:val="multilevel"/>
    <w:tmpl w:val="9CF28E38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0C"/>
    <w:rsid w:val="001F064E"/>
    <w:rsid w:val="002048C6"/>
    <w:rsid w:val="0028368F"/>
    <w:rsid w:val="002D0F30"/>
    <w:rsid w:val="005B057B"/>
    <w:rsid w:val="005C206B"/>
    <w:rsid w:val="006875B0"/>
    <w:rsid w:val="00734F19"/>
    <w:rsid w:val="00765F1E"/>
    <w:rsid w:val="00847DD7"/>
    <w:rsid w:val="00A27B8B"/>
    <w:rsid w:val="00A6420C"/>
    <w:rsid w:val="00A87909"/>
    <w:rsid w:val="00B064EC"/>
    <w:rsid w:val="00BA65FE"/>
    <w:rsid w:val="00D434E3"/>
    <w:rsid w:val="00DD6348"/>
    <w:rsid w:val="00E175BD"/>
    <w:rsid w:val="00E31CF3"/>
    <w:rsid w:val="00E515E3"/>
    <w:rsid w:val="00E5499A"/>
    <w:rsid w:val="00EB545C"/>
    <w:rsid w:val="00ED27B3"/>
    <w:rsid w:val="00F02408"/>
    <w:rsid w:val="00F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E098C"/>
  <w15:docId w15:val="{B6F6E773-765F-4ECE-875C-AEEF8078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820" w:lineRule="exact"/>
      <w:jc w:val="righ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20" w:line="466" w:lineRule="exact"/>
      <w:jc w:val="right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720" w:after="260" w:line="31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520" w:after="260" w:line="254" w:lineRule="exact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80" w:after="600" w:line="278" w:lineRule="exact"/>
      <w:jc w:val="center"/>
    </w:pPr>
    <w:rPr>
      <w:rFonts w:ascii="Sylfaen" w:eastAsia="Sylfaen" w:hAnsi="Sylfaen" w:cs="Sylfaen"/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5A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A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5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5E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4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noro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dnoroz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Jesionek</dc:creator>
  <cp:lastModifiedBy>Wioletta  Grabowska</cp:lastModifiedBy>
  <cp:revision>6</cp:revision>
  <cp:lastPrinted>2022-09-07T11:09:00Z</cp:lastPrinted>
  <dcterms:created xsi:type="dcterms:W3CDTF">2022-09-01T11:38:00Z</dcterms:created>
  <dcterms:modified xsi:type="dcterms:W3CDTF">2022-09-07T11:21:00Z</dcterms:modified>
</cp:coreProperties>
</file>