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E735" w14:textId="429A2E2F" w:rsidR="00134551" w:rsidRPr="00134551" w:rsidRDefault="00134551" w:rsidP="00134551">
      <w:pPr>
        <w:spacing w:after="0" w:line="360" w:lineRule="auto"/>
        <w:jc w:val="center"/>
        <w:rPr>
          <w:rFonts w:ascii="Calibri" w:hAnsi="Calibri" w:cs="Calibri"/>
          <w:i/>
          <w:iCs/>
          <w:sz w:val="24"/>
          <w:szCs w:val="24"/>
        </w:rPr>
      </w:pPr>
      <w:r w:rsidRPr="00134551">
        <w:rPr>
          <w:rFonts w:ascii="Calibri" w:hAnsi="Calibri" w:cs="Calibri"/>
          <w:b/>
          <w:bCs/>
          <w:sz w:val="24"/>
          <w:szCs w:val="24"/>
        </w:rPr>
        <w:t xml:space="preserve">Zarządzenie Nr </w:t>
      </w:r>
      <w:r w:rsidR="00165D42">
        <w:rPr>
          <w:rFonts w:ascii="Calibri" w:hAnsi="Calibri" w:cs="Calibri"/>
          <w:b/>
          <w:bCs/>
          <w:sz w:val="24"/>
          <w:szCs w:val="24"/>
        </w:rPr>
        <w:t>153</w:t>
      </w:r>
      <w:r w:rsidRPr="00134551">
        <w:rPr>
          <w:rFonts w:ascii="Calibri" w:hAnsi="Calibri" w:cs="Calibri"/>
          <w:b/>
          <w:bCs/>
          <w:sz w:val="24"/>
          <w:szCs w:val="24"/>
        </w:rPr>
        <w:t>/2024</w:t>
      </w:r>
    </w:p>
    <w:p w14:paraId="135A7B47" w14:textId="77777777" w:rsidR="00134551" w:rsidRPr="00134551" w:rsidRDefault="00134551" w:rsidP="00134551">
      <w:pPr>
        <w:spacing w:after="0" w:line="360" w:lineRule="auto"/>
        <w:jc w:val="center"/>
        <w:rPr>
          <w:rFonts w:ascii="Calibri" w:hAnsi="Calibri" w:cs="Calibri"/>
          <w:i/>
          <w:iCs/>
          <w:sz w:val="24"/>
          <w:szCs w:val="24"/>
        </w:rPr>
      </w:pPr>
      <w:r w:rsidRPr="00134551">
        <w:rPr>
          <w:rFonts w:ascii="Calibri" w:hAnsi="Calibri" w:cs="Calibri"/>
          <w:b/>
          <w:bCs/>
          <w:sz w:val="24"/>
          <w:szCs w:val="24"/>
        </w:rPr>
        <w:t>Wójta Gminy Jednorożec</w:t>
      </w:r>
    </w:p>
    <w:p w14:paraId="11380DEB" w14:textId="77777777" w:rsidR="00134551" w:rsidRPr="00134551" w:rsidRDefault="00134551" w:rsidP="00134551">
      <w:pPr>
        <w:spacing w:after="0" w:line="360" w:lineRule="auto"/>
        <w:jc w:val="center"/>
        <w:rPr>
          <w:rFonts w:ascii="Calibri" w:hAnsi="Calibri" w:cs="Calibri"/>
          <w:b/>
          <w:bCs/>
          <w:sz w:val="24"/>
          <w:szCs w:val="24"/>
        </w:rPr>
      </w:pPr>
      <w:r w:rsidRPr="00134551">
        <w:rPr>
          <w:rFonts w:ascii="Calibri" w:hAnsi="Calibri" w:cs="Calibri"/>
          <w:b/>
          <w:bCs/>
          <w:sz w:val="24"/>
          <w:szCs w:val="24"/>
        </w:rPr>
        <w:t>z dnia 31 grudnia 2024 roku</w:t>
      </w:r>
    </w:p>
    <w:p w14:paraId="2E7AA08D" w14:textId="77777777" w:rsidR="00134551" w:rsidRPr="00134551" w:rsidRDefault="00134551" w:rsidP="00134551">
      <w:pPr>
        <w:spacing w:after="0" w:line="360" w:lineRule="auto"/>
        <w:jc w:val="both"/>
        <w:rPr>
          <w:rFonts w:ascii="Calibri" w:hAnsi="Calibri" w:cs="Calibri"/>
          <w:sz w:val="24"/>
          <w:szCs w:val="24"/>
        </w:rPr>
      </w:pPr>
    </w:p>
    <w:p w14:paraId="316E1332" w14:textId="77777777" w:rsidR="00134551" w:rsidRDefault="00134551" w:rsidP="00134551">
      <w:pPr>
        <w:spacing w:after="0" w:line="360" w:lineRule="auto"/>
        <w:jc w:val="both"/>
        <w:rPr>
          <w:rFonts w:ascii="Calibri" w:hAnsi="Calibri" w:cs="Calibri"/>
          <w:b/>
          <w:bCs/>
          <w:iCs/>
          <w:sz w:val="24"/>
          <w:szCs w:val="24"/>
        </w:rPr>
      </w:pPr>
      <w:r w:rsidRPr="00134551">
        <w:rPr>
          <w:rFonts w:ascii="Calibri" w:hAnsi="Calibri" w:cs="Calibri"/>
          <w:b/>
          <w:bCs/>
          <w:iCs/>
          <w:sz w:val="24"/>
          <w:szCs w:val="24"/>
        </w:rPr>
        <w:t>w sprawie zmiany Zarządzenia Nr 44/2012 Wójta Gminy Jednorożec z dnia 5 czerwca             2012 roku w sprawie ustalenia dokumentacji określającej: zasady prowadzenia rachunkowości, zakładowy plan kont dla Urzędu Gminy w Jednorożcu, plan kont dla budżetu Gminy Jednorożec, zasady rachunkowości i plan kont dla prowadzenia ewidencji podatków i opłat, sposób prowadzenia ksiąg rachunkowych i ochrony danych i ich zbiorów, w tym dowodów księgowych, ksiąg rachunkowych i innych dokumentów stanowiących podstawę dokonanych w nich zapisach oraz zasady sporządzania, obiegu i kontroli dokumentów, instrukcję inwentaryzacji, a także instrukcję gospodarki kasowej w Urzędzie Gminy w Jednorożcu</w:t>
      </w:r>
    </w:p>
    <w:p w14:paraId="0B4A2679" w14:textId="77777777" w:rsidR="00134551" w:rsidRPr="00165D42" w:rsidRDefault="00134551" w:rsidP="00134551">
      <w:pPr>
        <w:spacing w:after="0" w:line="360" w:lineRule="auto"/>
        <w:jc w:val="both"/>
        <w:rPr>
          <w:rFonts w:ascii="Calibri" w:hAnsi="Calibri" w:cs="Calibri"/>
          <w:b/>
          <w:bCs/>
          <w:iCs/>
          <w:sz w:val="24"/>
          <w:szCs w:val="24"/>
        </w:rPr>
      </w:pPr>
    </w:p>
    <w:p w14:paraId="66E33410" w14:textId="4114F5CA" w:rsidR="00134551" w:rsidRPr="00134551" w:rsidRDefault="00134551" w:rsidP="00134551">
      <w:pPr>
        <w:spacing w:after="0" w:line="360" w:lineRule="auto"/>
        <w:ind w:firstLine="708"/>
        <w:jc w:val="both"/>
        <w:rPr>
          <w:rFonts w:ascii="Calibri" w:hAnsi="Calibri" w:cs="Calibri"/>
          <w:b/>
          <w:bCs/>
          <w:sz w:val="24"/>
          <w:szCs w:val="24"/>
        </w:rPr>
      </w:pPr>
      <w:r w:rsidRPr="00165D42">
        <w:rPr>
          <w:rFonts w:ascii="Calibri" w:hAnsi="Calibri" w:cs="Calibri"/>
          <w:sz w:val="24"/>
          <w:szCs w:val="24"/>
        </w:rPr>
        <w:t xml:space="preserve">Na podstawie art. 10 ustawy z dnia 29 września 1994 roku o rachunkowości (Dz. U. 2023 poz. 120 z </w:t>
      </w:r>
      <w:proofErr w:type="spellStart"/>
      <w:r w:rsidRPr="00165D42">
        <w:rPr>
          <w:rFonts w:ascii="Calibri" w:hAnsi="Calibri" w:cs="Calibri"/>
          <w:sz w:val="24"/>
          <w:szCs w:val="24"/>
        </w:rPr>
        <w:t>późn</w:t>
      </w:r>
      <w:proofErr w:type="spellEnd"/>
      <w:r w:rsidRPr="00165D42">
        <w:rPr>
          <w:rFonts w:ascii="Calibri" w:hAnsi="Calibri" w:cs="Calibri"/>
          <w:sz w:val="24"/>
          <w:szCs w:val="24"/>
        </w:rPr>
        <w:t xml:space="preserve">. zm.) oraz Rozporządzenia Ministra Rozwoju i Finansów z dnia13 września 2017 r. w sprawie rachunkowości </w:t>
      </w:r>
      <w:r w:rsidRPr="00134551">
        <w:rPr>
          <w:rFonts w:ascii="Calibri" w:hAnsi="Calibri" w:cs="Calibri"/>
          <w:sz w:val="24"/>
          <w:szCs w:val="24"/>
        </w:rPr>
        <w:t xml:space="preserve">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2020 poz. 342), Rozporządzenia Ministra Rozwoju i Finansów  z dnia 11 stycznia 2022 roku w sprawie sprawozdawczości budżetowej (Dz. U. z 2024, poz. 454 z </w:t>
      </w:r>
      <w:proofErr w:type="spellStart"/>
      <w:r w:rsidRPr="00134551">
        <w:rPr>
          <w:rFonts w:ascii="Calibri" w:hAnsi="Calibri" w:cs="Calibri"/>
          <w:sz w:val="24"/>
          <w:szCs w:val="24"/>
        </w:rPr>
        <w:t>późn</w:t>
      </w:r>
      <w:proofErr w:type="spellEnd"/>
      <w:r w:rsidRPr="00134551">
        <w:rPr>
          <w:rFonts w:ascii="Calibri" w:hAnsi="Calibri" w:cs="Calibri"/>
          <w:sz w:val="24"/>
          <w:szCs w:val="24"/>
        </w:rPr>
        <w:t xml:space="preserve">. zm.) oraz art.40 ustawy z dnia 27 sierpnia 2009 r. o finansach publicznych (Dz.U. 2024 r., poz. 1530 z </w:t>
      </w:r>
      <w:proofErr w:type="spellStart"/>
      <w:r w:rsidRPr="00134551">
        <w:rPr>
          <w:rFonts w:ascii="Calibri" w:hAnsi="Calibri" w:cs="Calibri"/>
          <w:sz w:val="24"/>
          <w:szCs w:val="24"/>
        </w:rPr>
        <w:t>późn</w:t>
      </w:r>
      <w:proofErr w:type="spellEnd"/>
      <w:r w:rsidRPr="00134551">
        <w:rPr>
          <w:rFonts w:ascii="Calibri" w:hAnsi="Calibri" w:cs="Calibri"/>
          <w:sz w:val="24"/>
          <w:szCs w:val="24"/>
        </w:rPr>
        <w:t xml:space="preserve">. zm.) – </w:t>
      </w:r>
      <w:r w:rsidRPr="00134551">
        <w:rPr>
          <w:rFonts w:ascii="Calibri" w:hAnsi="Calibri" w:cs="Calibri"/>
          <w:b/>
          <w:bCs/>
          <w:sz w:val="24"/>
          <w:szCs w:val="24"/>
        </w:rPr>
        <w:t>zarządza się, co następuje:</w:t>
      </w:r>
    </w:p>
    <w:p w14:paraId="35512DEB" w14:textId="77777777" w:rsidR="00134551" w:rsidRPr="00134551" w:rsidRDefault="00134551" w:rsidP="00134551">
      <w:pPr>
        <w:spacing w:after="0" w:line="360" w:lineRule="auto"/>
        <w:jc w:val="both"/>
        <w:rPr>
          <w:rFonts w:ascii="Calibri" w:hAnsi="Calibri" w:cs="Calibri"/>
          <w:bCs/>
          <w:sz w:val="24"/>
          <w:szCs w:val="24"/>
        </w:rPr>
      </w:pPr>
    </w:p>
    <w:p w14:paraId="065B5DA0" w14:textId="77777777" w:rsidR="00134551" w:rsidRPr="00134551" w:rsidRDefault="00134551" w:rsidP="00134551">
      <w:pPr>
        <w:spacing w:after="0" w:line="360" w:lineRule="auto"/>
        <w:jc w:val="both"/>
        <w:rPr>
          <w:rFonts w:ascii="Calibri" w:hAnsi="Calibri" w:cs="Calibri"/>
          <w:bCs/>
          <w:sz w:val="24"/>
          <w:szCs w:val="24"/>
        </w:rPr>
      </w:pPr>
      <w:r w:rsidRPr="00134551">
        <w:rPr>
          <w:rFonts w:ascii="Calibri" w:hAnsi="Calibri" w:cs="Calibri"/>
          <w:bCs/>
          <w:sz w:val="24"/>
          <w:szCs w:val="24"/>
        </w:rPr>
        <w:t xml:space="preserve">§ 1. W zarządzeniu nr 44/2012 Wójta Gminy Jednorożec z dnia 5 czerwca 2012 roku z </w:t>
      </w:r>
      <w:proofErr w:type="spellStart"/>
      <w:r w:rsidRPr="00134551">
        <w:rPr>
          <w:rFonts w:ascii="Calibri" w:hAnsi="Calibri" w:cs="Calibri"/>
          <w:bCs/>
          <w:sz w:val="24"/>
          <w:szCs w:val="24"/>
        </w:rPr>
        <w:t>późn</w:t>
      </w:r>
      <w:proofErr w:type="spellEnd"/>
      <w:r w:rsidRPr="00134551">
        <w:rPr>
          <w:rFonts w:ascii="Calibri" w:hAnsi="Calibri" w:cs="Calibri"/>
          <w:bCs/>
          <w:sz w:val="24"/>
          <w:szCs w:val="24"/>
        </w:rPr>
        <w:t>. zm. wprowadza się zmiany:</w:t>
      </w:r>
    </w:p>
    <w:p w14:paraId="7A238103" w14:textId="77777777" w:rsidR="00134551" w:rsidRPr="00134551" w:rsidRDefault="00134551" w:rsidP="00134551">
      <w:pPr>
        <w:spacing w:after="0" w:line="360" w:lineRule="auto"/>
        <w:jc w:val="both"/>
        <w:rPr>
          <w:rFonts w:ascii="Calibri" w:hAnsi="Calibri" w:cs="Calibri"/>
          <w:bCs/>
          <w:sz w:val="24"/>
          <w:szCs w:val="24"/>
        </w:rPr>
      </w:pPr>
      <w:r w:rsidRPr="00134551">
        <w:rPr>
          <w:rFonts w:ascii="Calibri" w:hAnsi="Calibri" w:cs="Calibri"/>
          <w:b/>
          <w:sz w:val="24"/>
          <w:szCs w:val="24"/>
        </w:rPr>
        <w:t>1.</w:t>
      </w:r>
      <w:r w:rsidRPr="00134551">
        <w:rPr>
          <w:rFonts w:ascii="Calibri" w:hAnsi="Calibri" w:cs="Calibri"/>
          <w:sz w:val="24"/>
          <w:szCs w:val="24"/>
        </w:rPr>
        <w:t xml:space="preserve"> </w:t>
      </w:r>
      <w:r w:rsidRPr="00134551">
        <w:rPr>
          <w:rFonts w:ascii="Calibri" w:hAnsi="Calibri" w:cs="Calibri"/>
          <w:bCs/>
          <w:sz w:val="24"/>
          <w:szCs w:val="24"/>
        </w:rPr>
        <w:t xml:space="preserve">W </w:t>
      </w:r>
      <w:r w:rsidRPr="00134551">
        <w:rPr>
          <w:rFonts w:ascii="Calibri" w:hAnsi="Calibri" w:cs="Calibri"/>
          <w:b/>
          <w:sz w:val="24"/>
          <w:szCs w:val="24"/>
        </w:rPr>
        <w:t>załączniku Nr 1</w:t>
      </w:r>
      <w:r w:rsidRPr="00134551">
        <w:rPr>
          <w:rFonts w:ascii="Calibri" w:hAnsi="Calibri" w:cs="Calibri"/>
          <w:sz w:val="24"/>
          <w:szCs w:val="24"/>
        </w:rPr>
        <w:t xml:space="preserve"> do </w:t>
      </w:r>
      <w:r w:rsidRPr="00134551">
        <w:rPr>
          <w:rFonts w:ascii="Calibri" w:hAnsi="Calibri" w:cs="Calibri"/>
          <w:bCs/>
          <w:sz w:val="24"/>
          <w:szCs w:val="24"/>
        </w:rPr>
        <w:t xml:space="preserve">Zarządzenia Nr 44/2012 Wójta Gminy Jednorożec z dnia 5 czerwca 2012 roku z </w:t>
      </w:r>
      <w:proofErr w:type="spellStart"/>
      <w:r w:rsidRPr="00134551">
        <w:rPr>
          <w:rFonts w:ascii="Calibri" w:hAnsi="Calibri" w:cs="Calibri"/>
          <w:bCs/>
          <w:sz w:val="24"/>
          <w:szCs w:val="24"/>
        </w:rPr>
        <w:t>późn</w:t>
      </w:r>
      <w:proofErr w:type="spellEnd"/>
      <w:r w:rsidRPr="00134551">
        <w:rPr>
          <w:rFonts w:ascii="Calibri" w:hAnsi="Calibri" w:cs="Calibri"/>
          <w:bCs/>
          <w:sz w:val="24"/>
          <w:szCs w:val="24"/>
        </w:rPr>
        <w:t>. zm. wprowadza się zmiany:</w:t>
      </w:r>
    </w:p>
    <w:p w14:paraId="3F1951A4"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bCs/>
          <w:sz w:val="24"/>
          <w:szCs w:val="24"/>
        </w:rPr>
        <w:t xml:space="preserve">1) w </w:t>
      </w:r>
      <w:r w:rsidRPr="00134551">
        <w:rPr>
          <w:rFonts w:ascii="Calibri" w:hAnsi="Calibri" w:cs="Calibri"/>
          <w:b/>
          <w:sz w:val="24"/>
          <w:szCs w:val="24"/>
        </w:rPr>
        <w:t>§ 1 ust. 3</w:t>
      </w:r>
      <w:r w:rsidRPr="00134551">
        <w:rPr>
          <w:rFonts w:ascii="Calibri" w:hAnsi="Calibri" w:cs="Calibri"/>
          <w:bCs/>
          <w:sz w:val="24"/>
          <w:szCs w:val="24"/>
        </w:rPr>
        <w:t xml:space="preserve"> otrzymuje brzmienie „</w:t>
      </w:r>
      <w:r w:rsidRPr="00134551">
        <w:rPr>
          <w:rFonts w:ascii="Calibri" w:hAnsi="Calibri" w:cs="Calibri"/>
          <w:sz w:val="24"/>
          <w:szCs w:val="24"/>
        </w:rPr>
        <w:t xml:space="preserve">Należności realizowane na rzecz innych jednostek ujmuje się jako zobowiązania tych jednostek. Dowody księgowe, które wpłynęły do 7 dnia miesiąca następującego po danym miesiącu ujmuje się jako zobowiązania danego okresu, dowody księgowe które wpłynęły po 7 dniu następnego miesiąca ujmuje się jako zobowiązania </w:t>
      </w:r>
      <w:r w:rsidRPr="00134551">
        <w:rPr>
          <w:rFonts w:ascii="Calibri" w:hAnsi="Calibri" w:cs="Calibri"/>
          <w:sz w:val="24"/>
          <w:szCs w:val="24"/>
        </w:rPr>
        <w:lastRenderedPageBreak/>
        <w:t>przyszłego okresu. W miesiącu grudniu dowody księgowe, które wpłynęły do 27 stycznia następnego roku ujmuje się jako zobowiązania danego roku obrotowego, dowody księgowe które wpłynęły po 27 stycznia następnego roku ujmuje się jako zobowiązania przyszłego roku obrotowego.”</w:t>
      </w:r>
    </w:p>
    <w:p w14:paraId="495DDCAA"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 xml:space="preserve">2) </w:t>
      </w:r>
      <w:r w:rsidRPr="00134551">
        <w:rPr>
          <w:rFonts w:ascii="Calibri" w:hAnsi="Calibri" w:cs="Calibri"/>
          <w:bCs/>
          <w:sz w:val="24"/>
          <w:szCs w:val="24"/>
        </w:rPr>
        <w:t xml:space="preserve">w </w:t>
      </w:r>
      <w:r w:rsidRPr="00134551">
        <w:rPr>
          <w:rFonts w:ascii="Calibri" w:hAnsi="Calibri" w:cs="Calibri"/>
          <w:b/>
          <w:sz w:val="24"/>
          <w:szCs w:val="24"/>
        </w:rPr>
        <w:t>§ 1 ust. 10</w:t>
      </w:r>
      <w:r w:rsidRPr="00134551">
        <w:rPr>
          <w:rFonts w:ascii="Calibri" w:hAnsi="Calibri" w:cs="Calibri"/>
          <w:bCs/>
          <w:sz w:val="24"/>
          <w:szCs w:val="24"/>
        </w:rPr>
        <w:t xml:space="preserve"> otrzymuje brzmienie: „</w:t>
      </w:r>
      <w:r w:rsidRPr="00134551">
        <w:rPr>
          <w:rFonts w:ascii="Calibri" w:hAnsi="Calibri" w:cs="Calibri"/>
          <w:sz w:val="24"/>
          <w:szCs w:val="24"/>
        </w:rPr>
        <w:t xml:space="preserve">Rozrachunki z budżetem państwa z tyt. zaliczki i funduszu alimentacyjnego oraz opłaty za udostępnienie danych osobowych, wydania karty dużej rodziny ewidencjonowane są w księgach rachunkowych budżetu gminy - ORGANU      (konta: 133, 224, 901). </w:t>
      </w:r>
    </w:p>
    <w:p w14:paraId="30E748AA"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W celu sporządzenia sprawozdania Rb-27ZZ rozrachunki w ujęciu syntetycznym z dłużnikami alimentacyjnymi, organem wierzyciela i organami dłużnika oraz imienne z indywidualnymi dłużnikami alimentacyjnymi prowadzone są przez Ośrodek Pomocy Społecznej w Jednorożcu.</w:t>
      </w:r>
    </w:p>
    <w:p w14:paraId="33DB729B"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W celu sporządzenia sprawozdania Rb-27ZZ rozrachunki z tytułu opłaty za udostępnienie danych osobowych, wydania karty dużej rodziny prowadzone są w części dochodów należnych budżetowi państwa w księgach organu, w części dochodów należnych jednostce samorządu terytorialnego w księgach jednostki urzędu tj.:</w:t>
      </w:r>
    </w:p>
    <w:p w14:paraId="04C87DC7"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 xml:space="preserve">- </w:t>
      </w:r>
      <w:proofErr w:type="spellStart"/>
      <w:r w:rsidRPr="00134551">
        <w:rPr>
          <w:rFonts w:ascii="Calibri" w:hAnsi="Calibri" w:cs="Calibri"/>
          <w:sz w:val="24"/>
          <w:szCs w:val="24"/>
        </w:rPr>
        <w:t>Wn</w:t>
      </w:r>
      <w:proofErr w:type="spellEnd"/>
      <w:r w:rsidRPr="00134551">
        <w:rPr>
          <w:rFonts w:ascii="Calibri" w:hAnsi="Calibri" w:cs="Calibri"/>
          <w:sz w:val="24"/>
          <w:szCs w:val="24"/>
        </w:rPr>
        <w:t xml:space="preserve"> 130 Ma 221 z klasyfikacją budżetowa paragrafu dochodów wykazywanych w sprawozdaniu Rb-27ZZ,</w:t>
      </w:r>
    </w:p>
    <w:p w14:paraId="1A8DEA20"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 xml:space="preserve">- </w:t>
      </w:r>
      <w:proofErr w:type="spellStart"/>
      <w:r w:rsidRPr="00134551">
        <w:rPr>
          <w:rFonts w:ascii="Calibri" w:hAnsi="Calibri" w:cs="Calibri"/>
          <w:sz w:val="24"/>
          <w:szCs w:val="24"/>
        </w:rPr>
        <w:t>Wn</w:t>
      </w:r>
      <w:proofErr w:type="spellEnd"/>
      <w:r w:rsidRPr="00134551">
        <w:rPr>
          <w:rFonts w:ascii="Calibri" w:hAnsi="Calibri" w:cs="Calibri"/>
          <w:sz w:val="24"/>
          <w:szCs w:val="24"/>
        </w:rPr>
        <w:t xml:space="preserve"> 221 Ma 720 kwartalny przypis dochodów,</w:t>
      </w:r>
    </w:p>
    <w:p w14:paraId="515B9541"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 xml:space="preserve">- </w:t>
      </w:r>
      <w:proofErr w:type="spellStart"/>
      <w:r w:rsidRPr="00134551">
        <w:rPr>
          <w:rFonts w:ascii="Calibri" w:hAnsi="Calibri" w:cs="Calibri"/>
          <w:sz w:val="24"/>
          <w:szCs w:val="24"/>
        </w:rPr>
        <w:t>Wn</w:t>
      </w:r>
      <w:proofErr w:type="spellEnd"/>
      <w:r w:rsidRPr="00134551">
        <w:rPr>
          <w:rFonts w:ascii="Calibri" w:hAnsi="Calibri" w:cs="Calibri"/>
          <w:sz w:val="24"/>
          <w:szCs w:val="24"/>
        </w:rPr>
        <w:t xml:space="preserve"> 720 Ma 860 przeksięgowanie przychodów na wynik finansowy”.</w:t>
      </w:r>
    </w:p>
    <w:p w14:paraId="4179D154" w14:textId="77777777" w:rsidR="00134551" w:rsidRPr="00134551" w:rsidRDefault="00134551" w:rsidP="00134551">
      <w:pPr>
        <w:spacing w:after="0" w:line="360" w:lineRule="auto"/>
        <w:jc w:val="both"/>
        <w:rPr>
          <w:rFonts w:ascii="Calibri" w:hAnsi="Calibri" w:cs="Calibri"/>
          <w:bCs/>
          <w:sz w:val="24"/>
          <w:szCs w:val="24"/>
        </w:rPr>
      </w:pPr>
      <w:r w:rsidRPr="00134551">
        <w:rPr>
          <w:rFonts w:ascii="Calibri" w:hAnsi="Calibri" w:cs="Calibri"/>
          <w:b/>
          <w:sz w:val="24"/>
          <w:szCs w:val="24"/>
        </w:rPr>
        <w:t>2.</w:t>
      </w:r>
      <w:r w:rsidRPr="00134551">
        <w:rPr>
          <w:rFonts w:ascii="Calibri" w:hAnsi="Calibri" w:cs="Calibri"/>
          <w:bCs/>
          <w:sz w:val="24"/>
          <w:szCs w:val="24"/>
        </w:rPr>
        <w:t xml:space="preserve"> W </w:t>
      </w:r>
      <w:r w:rsidRPr="00134551">
        <w:rPr>
          <w:rFonts w:ascii="Calibri" w:hAnsi="Calibri" w:cs="Calibri"/>
          <w:b/>
          <w:sz w:val="24"/>
          <w:szCs w:val="24"/>
        </w:rPr>
        <w:t>załączniku Nr 3</w:t>
      </w:r>
      <w:r w:rsidRPr="00134551">
        <w:rPr>
          <w:rFonts w:ascii="Calibri" w:hAnsi="Calibri" w:cs="Calibri"/>
          <w:sz w:val="24"/>
          <w:szCs w:val="24"/>
        </w:rPr>
        <w:t xml:space="preserve"> - </w:t>
      </w:r>
      <w:r w:rsidRPr="00134551">
        <w:rPr>
          <w:rFonts w:ascii="Calibri" w:hAnsi="Calibri" w:cs="Calibri"/>
          <w:b/>
          <w:sz w:val="24"/>
          <w:szCs w:val="24"/>
        </w:rPr>
        <w:t>Plan kont dla Budżetu Gminy Jednorożec</w:t>
      </w:r>
      <w:r w:rsidRPr="00134551">
        <w:rPr>
          <w:rFonts w:ascii="Calibri" w:hAnsi="Calibri" w:cs="Calibri"/>
          <w:sz w:val="24"/>
          <w:szCs w:val="24"/>
        </w:rPr>
        <w:t xml:space="preserve"> do </w:t>
      </w:r>
      <w:r w:rsidRPr="00134551">
        <w:rPr>
          <w:rFonts w:ascii="Calibri" w:hAnsi="Calibri" w:cs="Calibri"/>
          <w:bCs/>
          <w:sz w:val="24"/>
          <w:szCs w:val="24"/>
        </w:rPr>
        <w:t xml:space="preserve">Zarządzenia Nr 44/2012 Wójta Gminy Jednorożec z dnia 5 czerwca 2012 roku z </w:t>
      </w:r>
      <w:proofErr w:type="spellStart"/>
      <w:r w:rsidRPr="00134551">
        <w:rPr>
          <w:rFonts w:ascii="Calibri" w:hAnsi="Calibri" w:cs="Calibri"/>
          <w:bCs/>
          <w:sz w:val="24"/>
          <w:szCs w:val="24"/>
        </w:rPr>
        <w:t>późn</w:t>
      </w:r>
      <w:proofErr w:type="spellEnd"/>
      <w:r w:rsidRPr="00134551">
        <w:rPr>
          <w:rFonts w:ascii="Calibri" w:hAnsi="Calibri" w:cs="Calibri"/>
          <w:bCs/>
          <w:sz w:val="24"/>
          <w:szCs w:val="24"/>
        </w:rPr>
        <w:t xml:space="preserve">. zm. </w:t>
      </w:r>
    </w:p>
    <w:p w14:paraId="796060E0" w14:textId="77777777" w:rsidR="00134551" w:rsidRPr="00134551" w:rsidRDefault="00134551" w:rsidP="00134551">
      <w:pPr>
        <w:spacing w:after="0" w:line="360" w:lineRule="auto"/>
        <w:jc w:val="both"/>
        <w:rPr>
          <w:rFonts w:ascii="Calibri" w:hAnsi="Calibri" w:cs="Calibri"/>
          <w:b/>
          <w:bCs/>
          <w:sz w:val="24"/>
          <w:szCs w:val="24"/>
        </w:rPr>
      </w:pPr>
      <w:r w:rsidRPr="00134551">
        <w:rPr>
          <w:rFonts w:ascii="Calibri" w:hAnsi="Calibri" w:cs="Calibri"/>
          <w:b/>
          <w:bCs/>
          <w:sz w:val="24"/>
          <w:szCs w:val="24"/>
        </w:rPr>
        <w:t xml:space="preserve">Konto 224 – „Rozrachunki budżetu” </w:t>
      </w:r>
      <w:r w:rsidRPr="00134551">
        <w:rPr>
          <w:rFonts w:ascii="Calibri" w:hAnsi="Calibri" w:cs="Calibri"/>
          <w:sz w:val="24"/>
          <w:szCs w:val="24"/>
        </w:rPr>
        <w:t>otrzymuje brzmienie:</w:t>
      </w:r>
    </w:p>
    <w:p w14:paraId="017157A8"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„Konto 224 służy do ewidencji rozrachunków z innymi budżetami, a w szczególności:</w:t>
      </w:r>
    </w:p>
    <w:p w14:paraId="743C7942" w14:textId="77777777" w:rsidR="00134551" w:rsidRPr="00134551" w:rsidRDefault="00134551" w:rsidP="00134551">
      <w:pPr>
        <w:numPr>
          <w:ilvl w:val="0"/>
          <w:numId w:val="1"/>
        </w:numPr>
        <w:spacing w:after="0" w:line="360" w:lineRule="auto"/>
        <w:jc w:val="both"/>
        <w:rPr>
          <w:rFonts w:ascii="Calibri" w:hAnsi="Calibri" w:cs="Calibri"/>
          <w:sz w:val="24"/>
          <w:szCs w:val="24"/>
        </w:rPr>
      </w:pPr>
      <w:r w:rsidRPr="00134551">
        <w:rPr>
          <w:rFonts w:ascii="Calibri" w:hAnsi="Calibri" w:cs="Calibri"/>
          <w:sz w:val="24"/>
          <w:szCs w:val="24"/>
        </w:rPr>
        <w:t>rozliczeń dochodów budżetowych realizowanych przez urzędy skarbowe na rzecz budżetu,</w:t>
      </w:r>
    </w:p>
    <w:p w14:paraId="4F04BFC7" w14:textId="77777777" w:rsidR="00134551" w:rsidRPr="00134551" w:rsidRDefault="00134551" w:rsidP="00134551">
      <w:pPr>
        <w:numPr>
          <w:ilvl w:val="0"/>
          <w:numId w:val="1"/>
        </w:numPr>
        <w:spacing w:after="0" w:line="360" w:lineRule="auto"/>
        <w:jc w:val="both"/>
        <w:rPr>
          <w:rFonts w:ascii="Calibri" w:hAnsi="Calibri" w:cs="Calibri"/>
          <w:sz w:val="24"/>
          <w:szCs w:val="24"/>
        </w:rPr>
      </w:pPr>
      <w:r w:rsidRPr="00134551">
        <w:rPr>
          <w:rFonts w:ascii="Calibri" w:hAnsi="Calibri" w:cs="Calibri"/>
          <w:sz w:val="24"/>
          <w:szCs w:val="24"/>
        </w:rPr>
        <w:t>rozrachunków z tytułu dochodów pobranych na rzecz budżetu państwa,</w:t>
      </w:r>
    </w:p>
    <w:p w14:paraId="043E22C4" w14:textId="77777777" w:rsidR="00134551" w:rsidRPr="00134551" w:rsidRDefault="00134551" w:rsidP="00134551">
      <w:pPr>
        <w:numPr>
          <w:ilvl w:val="0"/>
          <w:numId w:val="1"/>
        </w:numPr>
        <w:spacing w:after="0" w:line="360" w:lineRule="auto"/>
        <w:jc w:val="both"/>
        <w:rPr>
          <w:rFonts w:ascii="Calibri" w:hAnsi="Calibri" w:cs="Calibri"/>
          <w:sz w:val="24"/>
          <w:szCs w:val="24"/>
        </w:rPr>
      </w:pPr>
      <w:r w:rsidRPr="00134551">
        <w:rPr>
          <w:rFonts w:ascii="Calibri" w:hAnsi="Calibri" w:cs="Calibri"/>
          <w:sz w:val="24"/>
          <w:szCs w:val="24"/>
        </w:rPr>
        <w:t>rozliczeń z urzędem skarbowym z tytułu podatku VAT.</w:t>
      </w:r>
    </w:p>
    <w:p w14:paraId="5EC87B23"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Ewidencja szczegółowa do konta 224 powinna umożliwić ustalenie stanu należności i zobowiązań według poszczególnych tytułów oraz według poszczególnych budżetów. Ewidencja szczegółowa prowadzona jest poprzez dodanie do konta 224 numeru w zależności od rodzaju i źródła pochodzenia środków.</w:t>
      </w:r>
    </w:p>
    <w:p w14:paraId="4C28E7EC"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lastRenderedPageBreak/>
        <w:t xml:space="preserve">Przypisy, dochody wykonane oraz zaległości dochodów otrzymywanych z Urzędu Skarbowego wykazuje się na podstawie informacji o dochodach budżetowych pobieranych przez urzędy skarbowe na rzecz jednostek samorządu terytorialnego ukazanych na stronie Ministerstwa Finansów po zakończeniu kwartału. Dochody wykonane na bieżąco ujmowane pod datą wyciągu bankowego, w korespondencji z kontem 224. </w:t>
      </w:r>
    </w:p>
    <w:p w14:paraId="58562C63"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 xml:space="preserve">Wpływy z tytułu subwencji, dotacji oraz udziały w podatku dochodowym od osób fizycznych przekazane przez Ministerstwo Finansów w ciągu roku są księgowane z pominięciem konta 224. Subwencja oraz udziały w podatku dochodowym od osób fizycznych przekazane przez Ministerstwo Finansów otrzymane w grudniu za styczeń następnego roku ujmuje się na koncie 909. </w:t>
      </w:r>
    </w:p>
    <w:p w14:paraId="7CF1C221"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 xml:space="preserve">Konto 224 służy m.in. do rozrachunków z tytułu dochodów pobranych na rzecz budżetu państwa. Na podstawie instrukcji sporządzania sprawozdania kwartalnego Rb-27ZZ należy przyjąć, że dochodami pobranymi na rzecz budżetu jednostki samorządu terytorialnego jest tylko ta część dochodów związanych z realizacją zadań z zakresu administracji rządowej oraz innych zadań zleconych ustawami, która nie jest należna budżetowi państwa. W instrukcji tej określono, że dochody wykonane w związku z realizacją zadań zleconych z zakresu administracji rządowej, należne jednostkom samorządu terytorialnego na podstawie odrębnych przepisów, nie stanowią dochodów budżetu państwa. </w:t>
      </w:r>
    </w:p>
    <w:p w14:paraId="61B168F8"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Przyjmując założenie, że wpłaty na rachunek budżetu dochodów zrealizowanych przez jednostki budżetowe w związku z realizacją zadań z zakresu administracji rządowej i innych zadań zleconych ustawami jest księgowany na koncie 224 wystąpią następujące zapisy związane z rozliczeniem uzyskanych z tego tytułu wpływów:</w:t>
      </w:r>
    </w:p>
    <w:p w14:paraId="6E14CB08"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 xml:space="preserve">– wpływ dochodów z zadań zleconych należnych budżetowi państwa – </w:t>
      </w:r>
      <w:proofErr w:type="spellStart"/>
      <w:r w:rsidRPr="00134551">
        <w:rPr>
          <w:rFonts w:ascii="Calibri" w:hAnsi="Calibri" w:cs="Calibri"/>
          <w:sz w:val="24"/>
          <w:szCs w:val="24"/>
        </w:rPr>
        <w:t>Wn</w:t>
      </w:r>
      <w:proofErr w:type="spellEnd"/>
      <w:r w:rsidRPr="00134551">
        <w:rPr>
          <w:rFonts w:ascii="Calibri" w:hAnsi="Calibri" w:cs="Calibri"/>
          <w:sz w:val="24"/>
          <w:szCs w:val="24"/>
        </w:rPr>
        <w:t xml:space="preserve"> 133, Ma 224 (z odpowiednim numerem umożliwiającym określenie rodzaju należnych dochodów) ;</w:t>
      </w:r>
    </w:p>
    <w:p w14:paraId="2EBDE30D"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 xml:space="preserve">– wpływ dochodów z zadań zleconych należnych jednostce samorządu terytorialnego </w:t>
      </w:r>
      <w:proofErr w:type="spellStart"/>
      <w:r w:rsidRPr="00134551">
        <w:rPr>
          <w:rFonts w:ascii="Calibri" w:hAnsi="Calibri" w:cs="Calibri"/>
          <w:sz w:val="24"/>
          <w:szCs w:val="24"/>
        </w:rPr>
        <w:t>Wn</w:t>
      </w:r>
      <w:proofErr w:type="spellEnd"/>
      <w:r w:rsidRPr="00134551">
        <w:rPr>
          <w:rFonts w:ascii="Calibri" w:hAnsi="Calibri" w:cs="Calibri"/>
          <w:sz w:val="24"/>
          <w:szCs w:val="24"/>
        </w:rPr>
        <w:t xml:space="preserve"> 133, Ma 901 z klasyfikacja budżetową określająca rodzaj dochodu z paragrafem 2360;</w:t>
      </w:r>
    </w:p>
    <w:p w14:paraId="45BC27FD"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 xml:space="preserve">– przelewy dochodów należnych budżetowi państwa – </w:t>
      </w:r>
      <w:proofErr w:type="spellStart"/>
      <w:r w:rsidRPr="00134551">
        <w:rPr>
          <w:rFonts w:ascii="Calibri" w:hAnsi="Calibri" w:cs="Calibri"/>
          <w:sz w:val="24"/>
          <w:szCs w:val="24"/>
        </w:rPr>
        <w:t>Wn</w:t>
      </w:r>
      <w:proofErr w:type="spellEnd"/>
      <w:r w:rsidRPr="00134551">
        <w:rPr>
          <w:rFonts w:ascii="Calibri" w:hAnsi="Calibri" w:cs="Calibri"/>
          <w:sz w:val="24"/>
          <w:szCs w:val="24"/>
        </w:rPr>
        <w:t xml:space="preserve"> 224, Ma 133;</w:t>
      </w:r>
    </w:p>
    <w:p w14:paraId="5E56EC93"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 xml:space="preserve">Na koniec poszczególnych okresów sprawozdawczych w przypadku dochodów zebranych w jednostkach, a nie przekazanych do budżetu ewidencja dokonywana jest na podstawie informacji od jednostek o dochodach należnych jednostce samorządu terytorialnego </w:t>
      </w:r>
      <w:proofErr w:type="spellStart"/>
      <w:r w:rsidRPr="00134551">
        <w:rPr>
          <w:rFonts w:ascii="Calibri" w:hAnsi="Calibri" w:cs="Calibri"/>
          <w:sz w:val="24"/>
          <w:szCs w:val="24"/>
        </w:rPr>
        <w:t>Wn</w:t>
      </w:r>
      <w:proofErr w:type="spellEnd"/>
      <w:r w:rsidRPr="00134551">
        <w:rPr>
          <w:rFonts w:ascii="Calibri" w:hAnsi="Calibri" w:cs="Calibri"/>
          <w:sz w:val="24"/>
          <w:szCs w:val="24"/>
        </w:rPr>
        <w:t xml:space="preserve"> 222 ma 901 z paragrafem 2360. Późniejszy wpływ dochodów należnych jednostce samorządu terytorialnego </w:t>
      </w:r>
      <w:proofErr w:type="spellStart"/>
      <w:r w:rsidRPr="00134551">
        <w:rPr>
          <w:rFonts w:ascii="Calibri" w:hAnsi="Calibri" w:cs="Calibri"/>
          <w:sz w:val="24"/>
          <w:szCs w:val="24"/>
        </w:rPr>
        <w:t>Wn</w:t>
      </w:r>
      <w:proofErr w:type="spellEnd"/>
      <w:r w:rsidRPr="00134551">
        <w:rPr>
          <w:rFonts w:ascii="Calibri" w:hAnsi="Calibri" w:cs="Calibri"/>
          <w:sz w:val="24"/>
          <w:szCs w:val="24"/>
        </w:rPr>
        <w:t xml:space="preserve"> 133 Ma 222, należnych budżetowi państwa </w:t>
      </w:r>
      <w:proofErr w:type="spellStart"/>
      <w:r w:rsidRPr="00134551">
        <w:rPr>
          <w:rFonts w:ascii="Calibri" w:hAnsi="Calibri" w:cs="Calibri"/>
          <w:sz w:val="24"/>
          <w:szCs w:val="24"/>
        </w:rPr>
        <w:t>Wn</w:t>
      </w:r>
      <w:proofErr w:type="spellEnd"/>
      <w:r w:rsidRPr="00134551">
        <w:rPr>
          <w:rFonts w:ascii="Calibri" w:hAnsi="Calibri" w:cs="Calibri"/>
          <w:sz w:val="24"/>
          <w:szCs w:val="24"/>
        </w:rPr>
        <w:t xml:space="preserve"> 133 Ma 224.</w:t>
      </w:r>
    </w:p>
    <w:p w14:paraId="47BEB12C"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lastRenderedPageBreak/>
        <w:t>W sprawozdaniu jednostkowym jednostki budżetowej urzędu i organu wykazywane są dochody należne jednostce samorządu terytorialnego z realizacji zadań zleconych zaewidencjonowane na koncie 901 w paragrafie 2360, które są realizowane przez wszystkie jednostki budżetowe JST. Na podstawie danych uzupełniających do sprawozdania RB-27ZZ wykazywane są należności, należności pozostałe do zapłaty (w tym zaległości) oraz nadpłaty.</w:t>
      </w:r>
    </w:p>
    <w:p w14:paraId="799FC2CB"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 xml:space="preserve">Konto 224 służy także do rozliczenia z tytułu VAT z urzędem skarbowym i jednostkami (z wyjątkiem jednostki urząd gminy).  Na stronie </w:t>
      </w:r>
      <w:proofErr w:type="spellStart"/>
      <w:r w:rsidRPr="00134551">
        <w:rPr>
          <w:rFonts w:ascii="Calibri" w:hAnsi="Calibri" w:cs="Calibri"/>
          <w:sz w:val="24"/>
          <w:szCs w:val="24"/>
        </w:rPr>
        <w:t>Wn</w:t>
      </w:r>
      <w:proofErr w:type="spellEnd"/>
      <w:r w:rsidRPr="00134551">
        <w:rPr>
          <w:rFonts w:ascii="Calibri" w:hAnsi="Calibri" w:cs="Calibri"/>
          <w:sz w:val="24"/>
          <w:szCs w:val="24"/>
        </w:rPr>
        <w:t xml:space="preserve"> ujmuje się:</w:t>
      </w:r>
    </w:p>
    <w:p w14:paraId="0100CF79"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 xml:space="preserve">- przelewy VAT na rachunek urzędu skarbowego w wysokości wynikającej z miesięcznej deklaracji VAT- 7 sporządzonej jednostki (z wyjątkiem jednostki urząd gminy), w korespondencji z kontem 133,            </w:t>
      </w:r>
    </w:p>
    <w:p w14:paraId="172413D3"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Na stronie Ma ujmuje się:</w:t>
      </w:r>
    </w:p>
    <w:p w14:paraId="5E194857"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 wpływ VAT od jednostki (z wyjątkiem jednostki urząd gminy) na rachunek budżetu, w korespondencji z kontem 133.</w:t>
      </w:r>
    </w:p>
    <w:p w14:paraId="0AF909E9"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ab/>
        <w:t>Konto 224 może wykazywać dwa salda.</w:t>
      </w:r>
    </w:p>
    <w:p w14:paraId="0EFDF8C7" w14:textId="77777777" w:rsidR="00134551" w:rsidRPr="00134551" w:rsidRDefault="00134551" w:rsidP="00134551">
      <w:pPr>
        <w:spacing w:after="0" w:line="360" w:lineRule="auto"/>
        <w:jc w:val="both"/>
        <w:rPr>
          <w:rFonts w:ascii="Calibri" w:hAnsi="Calibri" w:cs="Calibri"/>
          <w:sz w:val="24"/>
          <w:szCs w:val="24"/>
        </w:rPr>
      </w:pPr>
      <w:r w:rsidRPr="00134551">
        <w:rPr>
          <w:rFonts w:ascii="Calibri" w:hAnsi="Calibri" w:cs="Calibri"/>
          <w:sz w:val="24"/>
          <w:szCs w:val="24"/>
        </w:rPr>
        <w:t xml:space="preserve">Saldo </w:t>
      </w:r>
      <w:proofErr w:type="spellStart"/>
      <w:r w:rsidRPr="00134551">
        <w:rPr>
          <w:rFonts w:ascii="Calibri" w:hAnsi="Calibri" w:cs="Calibri"/>
          <w:sz w:val="24"/>
          <w:szCs w:val="24"/>
        </w:rPr>
        <w:t>Wn</w:t>
      </w:r>
      <w:proofErr w:type="spellEnd"/>
      <w:r w:rsidRPr="00134551">
        <w:rPr>
          <w:rFonts w:ascii="Calibri" w:hAnsi="Calibri" w:cs="Calibri"/>
          <w:sz w:val="24"/>
          <w:szCs w:val="24"/>
        </w:rPr>
        <w:t xml:space="preserve"> konta 224 oznacza stan należności, a saldo Ma konta 224 – stan zobowiązań budżetu z tytułu pozostałych rozrachunków”.</w:t>
      </w:r>
    </w:p>
    <w:p w14:paraId="403DA88F" w14:textId="77777777" w:rsidR="00134551" w:rsidRPr="00134551" w:rsidRDefault="00134551" w:rsidP="00134551">
      <w:pPr>
        <w:spacing w:after="0" w:line="360" w:lineRule="auto"/>
        <w:jc w:val="both"/>
        <w:rPr>
          <w:rFonts w:ascii="Calibri" w:hAnsi="Calibri" w:cs="Calibri"/>
          <w:sz w:val="24"/>
          <w:szCs w:val="24"/>
        </w:rPr>
      </w:pPr>
    </w:p>
    <w:p w14:paraId="18784D9E" w14:textId="77777777" w:rsidR="00134551" w:rsidRPr="00134551" w:rsidRDefault="00134551" w:rsidP="00134551">
      <w:pPr>
        <w:spacing w:after="0" w:line="360" w:lineRule="auto"/>
        <w:jc w:val="both"/>
        <w:rPr>
          <w:rFonts w:ascii="Calibri" w:hAnsi="Calibri" w:cs="Calibri"/>
          <w:bCs/>
          <w:sz w:val="24"/>
          <w:szCs w:val="24"/>
        </w:rPr>
      </w:pPr>
      <w:r w:rsidRPr="00134551">
        <w:rPr>
          <w:rFonts w:ascii="Calibri" w:hAnsi="Calibri" w:cs="Calibri"/>
          <w:bCs/>
          <w:sz w:val="24"/>
          <w:szCs w:val="24"/>
        </w:rPr>
        <w:t>§ 2.Wykonanie zarządzenia powierza się Skarbnikowi Gminy.</w:t>
      </w:r>
    </w:p>
    <w:p w14:paraId="5A466DCE" w14:textId="77777777" w:rsidR="00134551" w:rsidRPr="00134551" w:rsidRDefault="00134551" w:rsidP="00134551">
      <w:pPr>
        <w:spacing w:after="0" w:line="360" w:lineRule="auto"/>
        <w:jc w:val="both"/>
        <w:rPr>
          <w:rFonts w:ascii="Calibri" w:hAnsi="Calibri" w:cs="Calibri"/>
          <w:bCs/>
          <w:sz w:val="24"/>
          <w:szCs w:val="24"/>
        </w:rPr>
      </w:pPr>
      <w:r w:rsidRPr="00134551">
        <w:rPr>
          <w:rFonts w:ascii="Calibri" w:hAnsi="Calibri" w:cs="Calibri"/>
          <w:bCs/>
          <w:sz w:val="24"/>
          <w:szCs w:val="24"/>
        </w:rPr>
        <w:t>§ 3.Zarządzenie wchodzi w życie z dniem 1 stycznia 2025 roku.</w:t>
      </w:r>
    </w:p>
    <w:p w14:paraId="10F7A03E" w14:textId="77777777" w:rsidR="00996B4D" w:rsidRDefault="00996B4D" w:rsidP="00134551">
      <w:pPr>
        <w:spacing w:after="0" w:line="360" w:lineRule="auto"/>
        <w:jc w:val="both"/>
      </w:pPr>
    </w:p>
    <w:p w14:paraId="30351DFB" w14:textId="22792214" w:rsidR="00F13ED2" w:rsidRDefault="00F13ED2" w:rsidP="00F13ED2">
      <w:pPr>
        <w:spacing w:after="0" w:line="360" w:lineRule="auto"/>
        <w:ind w:left="4248" w:firstLine="708"/>
        <w:jc w:val="both"/>
      </w:pPr>
      <w:r>
        <w:t>Wójt</w:t>
      </w:r>
    </w:p>
    <w:p w14:paraId="2353319E" w14:textId="102151D7" w:rsidR="00F13ED2" w:rsidRDefault="00F13ED2" w:rsidP="00F13ED2">
      <w:pPr>
        <w:spacing w:after="0" w:line="360" w:lineRule="auto"/>
        <w:ind w:left="2832" w:firstLine="708"/>
        <w:jc w:val="both"/>
      </w:pPr>
      <w:r>
        <w:t xml:space="preserve">/-/ mgr inż. Krzysztof </w:t>
      </w:r>
      <w:proofErr w:type="spellStart"/>
      <w:r>
        <w:t>Nizielski</w:t>
      </w:r>
      <w:proofErr w:type="spellEnd"/>
    </w:p>
    <w:sectPr w:rsidR="00F13E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4642B"/>
    <w:multiLevelType w:val="hybridMultilevel"/>
    <w:tmpl w:val="2DDA6EE4"/>
    <w:lvl w:ilvl="0" w:tplc="04150001">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num w:numId="1" w16cid:durableId="92793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E2"/>
    <w:rsid w:val="00134551"/>
    <w:rsid w:val="00165D42"/>
    <w:rsid w:val="00260A7B"/>
    <w:rsid w:val="0062520A"/>
    <w:rsid w:val="00996B4D"/>
    <w:rsid w:val="00CB37E2"/>
    <w:rsid w:val="00D0065B"/>
    <w:rsid w:val="00F13E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CFB9"/>
  <w15:chartTrackingRefBased/>
  <w15:docId w15:val="{F45491C7-9B04-4456-A421-BE81D4FC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B3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B3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B37E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B37E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B37E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B37E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B37E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B37E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B37E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B37E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B37E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B37E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B37E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B37E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B37E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B37E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B37E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B37E2"/>
    <w:rPr>
      <w:rFonts w:eastAsiaTheme="majorEastAsia" w:cstheme="majorBidi"/>
      <w:color w:val="272727" w:themeColor="text1" w:themeTint="D8"/>
    </w:rPr>
  </w:style>
  <w:style w:type="paragraph" w:styleId="Tytu">
    <w:name w:val="Title"/>
    <w:basedOn w:val="Normalny"/>
    <w:next w:val="Normalny"/>
    <w:link w:val="TytuZnak"/>
    <w:uiPriority w:val="10"/>
    <w:qFormat/>
    <w:rsid w:val="00CB3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B37E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B37E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B37E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B37E2"/>
    <w:pPr>
      <w:spacing w:before="160"/>
      <w:jc w:val="center"/>
    </w:pPr>
    <w:rPr>
      <w:i/>
      <w:iCs/>
      <w:color w:val="404040" w:themeColor="text1" w:themeTint="BF"/>
    </w:rPr>
  </w:style>
  <w:style w:type="character" w:customStyle="1" w:styleId="CytatZnak">
    <w:name w:val="Cytat Znak"/>
    <w:basedOn w:val="Domylnaczcionkaakapitu"/>
    <w:link w:val="Cytat"/>
    <w:uiPriority w:val="29"/>
    <w:rsid w:val="00CB37E2"/>
    <w:rPr>
      <w:i/>
      <w:iCs/>
      <w:color w:val="404040" w:themeColor="text1" w:themeTint="BF"/>
    </w:rPr>
  </w:style>
  <w:style w:type="paragraph" w:styleId="Akapitzlist">
    <w:name w:val="List Paragraph"/>
    <w:basedOn w:val="Normalny"/>
    <w:uiPriority w:val="34"/>
    <w:qFormat/>
    <w:rsid w:val="00CB37E2"/>
    <w:pPr>
      <w:ind w:left="720"/>
      <w:contextualSpacing/>
    </w:pPr>
  </w:style>
  <w:style w:type="character" w:styleId="Wyrnienieintensywne">
    <w:name w:val="Intense Emphasis"/>
    <w:basedOn w:val="Domylnaczcionkaakapitu"/>
    <w:uiPriority w:val="21"/>
    <w:qFormat/>
    <w:rsid w:val="00CB37E2"/>
    <w:rPr>
      <w:i/>
      <w:iCs/>
      <w:color w:val="0F4761" w:themeColor="accent1" w:themeShade="BF"/>
    </w:rPr>
  </w:style>
  <w:style w:type="paragraph" w:styleId="Cytatintensywny">
    <w:name w:val="Intense Quote"/>
    <w:basedOn w:val="Normalny"/>
    <w:next w:val="Normalny"/>
    <w:link w:val="CytatintensywnyZnak"/>
    <w:uiPriority w:val="30"/>
    <w:qFormat/>
    <w:rsid w:val="00CB3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B37E2"/>
    <w:rPr>
      <w:i/>
      <w:iCs/>
      <w:color w:val="0F4761" w:themeColor="accent1" w:themeShade="BF"/>
    </w:rPr>
  </w:style>
  <w:style w:type="character" w:styleId="Odwoanieintensywne">
    <w:name w:val="Intense Reference"/>
    <w:basedOn w:val="Domylnaczcionkaakapitu"/>
    <w:uiPriority w:val="32"/>
    <w:qFormat/>
    <w:rsid w:val="00CB37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1245">
      <w:bodyDiv w:val="1"/>
      <w:marLeft w:val="0"/>
      <w:marRight w:val="0"/>
      <w:marTop w:val="0"/>
      <w:marBottom w:val="0"/>
      <w:divBdr>
        <w:top w:val="none" w:sz="0" w:space="0" w:color="auto"/>
        <w:left w:val="none" w:sz="0" w:space="0" w:color="auto"/>
        <w:bottom w:val="none" w:sz="0" w:space="0" w:color="auto"/>
        <w:right w:val="none" w:sz="0" w:space="0" w:color="auto"/>
      </w:divBdr>
    </w:div>
    <w:div w:id="173723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1145</Words>
  <Characters>6872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Kucińska</dc:creator>
  <cp:keywords/>
  <dc:description/>
  <cp:lastModifiedBy>Magdalena Kucińska</cp:lastModifiedBy>
  <cp:revision>5</cp:revision>
  <cp:lastPrinted>2025-01-27T06:50:00Z</cp:lastPrinted>
  <dcterms:created xsi:type="dcterms:W3CDTF">2025-01-26T14:32:00Z</dcterms:created>
  <dcterms:modified xsi:type="dcterms:W3CDTF">2025-01-27T07:26:00Z</dcterms:modified>
</cp:coreProperties>
</file>