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9D" w:rsidRPr="003D459D" w:rsidRDefault="003D459D" w:rsidP="003D459D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line="340" w:lineRule="atLeast"/>
        <w:jc w:val="center"/>
        <w:rPr>
          <w:rFonts w:ascii="Times New Roman" w:hAnsi="Times New Roman" w:cs="Times New Roman"/>
          <w:b/>
          <w:bCs/>
        </w:rPr>
      </w:pPr>
      <w:r w:rsidRPr="003D459D">
        <w:rPr>
          <w:rFonts w:ascii="Times New Roman" w:hAnsi="Times New Roman" w:cs="Times New Roman"/>
          <w:b/>
          <w:bCs/>
        </w:rPr>
        <w:t>Uchwała Nr XXVIII/153/2017 Rady Gminy Jednorożec</w:t>
      </w:r>
      <w:r w:rsidRPr="003D459D">
        <w:rPr>
          <w:rFonts w:ascii="Times New Roman" w:hAnsi="Times New Roman" w:cs="Times New Roman"/>
          <w:b/>
          <w:bCs/>
        </w:rPr>
        <w:br/>
        <w:t>z dnia 10 marca 2017 roku</w:t>
      </w:r>
      <w:r w:rsidRPr="003D459D">
        <w:rPr>
          <w:rFonts w:ascii="Times New Roman" w:hAnsi="Times New Roman" w:cs="Times New Roman"/>
          <w:b/>
          <w:bCs/>
        </w:rPr>
        <w:br/>
        <w:t>zmieniająca Uchwałę Nr XXVI/142/2016 z dnia 30 grudnia 2016 roku w sprawie "Wieloletniej Prognozy Finansowej Gminy Jednorożec na lata 2017–2026"</w:t>
      </w:r>
    </w:p>
    <w:p w:rsidR="003D459D" w:rsidRPr="003D459D" w:rsidRDefault="003D459D" w:rsidP="003D459D">
      <w:pPr>
        <w:widowControl w:val="0"/>
        <w:tabs>
          <w:tab w:val="right" w:pos="90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</w:rPr>
      </w:pPr>
      <w:r w:rsidRPr="003D459D">
        <w:rPr>
          <w:rFonts w:ascii="Times New Roman" w:hAnsi="Times New Roman" w:cs="Times New Roman"/>
        </w:rPr>
        <w:tab/>
        <w:t>Na podstawie art. 226, art. 227, art. 228, art. 230 ust. 6 i art. 243 ustawy z dnia 27 sierpnia 2009 r. o finansach publicznych (</w:t>
      </w:r>
      <w:proofErr w:type="spellStart"/>
      <w:r w:rsidRPr="003D459D">
        <w:rPr>
          <w:rFonts w:ascii="Times New Roman" w:hAnsi="Times New Roman" w:cs="Times New Roman"/>
        </w:rPr>
        <w:t>Dz.U</w:t>
      </w:r>
      <w:proofErr w:type="spellEnd"/>
      <w:r w:rsidRPr="003D459D">
        <w:rPr>
          <w:rFonts w:ascii="Times New Roman" w:hAnsi="Times New Roman" w:cs="Times New Roman"/>
        </w:rPr>
        <w:t xml:space="preserve">. 2016, </w:t>
      </w:r>
      <w:proofErr w:type="spellStart"/>
      <w:r w:rsidRPr="003D459D">
        <w:rPr>
          <w:rFonts w:ascii="Times New Roman" w:hAnsi="Times New Roman" w:cs="Times New Roman"/>
        </w:rPr>
        <w:t>poz</w:t>
      </w:r>
      <w:proofErr w:type="spellEnd"/>
      <w:r w:rsidRPr="003D459D">
        <w:rPr>
          <w:rFonts w:ascii="Times New Roman" w:hAnsi="Times New Roman" w:cs="Times New Roman"/>
          <w:color w:val="000000"/>
        </w:rPr>
        <w:t xml:space="preserve"> 1870, 1984, 2260) Rada Gminy Jednorożec uchwala, co następuje:</w:t>
      </w:r>
    </w:p>
    <w:p w:rsidR="003D459D" w:rsidRPr="003D459D" w:rsidRDefault="003D459D" w:rsidP="003D4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459D" w:rsidRPr="003D459D" w:rsidRDefault="003D459D" w:rsidP="003D45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D459D">
        <w:rPr>
          <w:rFonts w:ascii="Times New Roman" w:hAnsi="Times New Roman" w:cs="Times New Roman"/>
          <w:b/>
          <w:bCs/>
        </w:rPr>
        <w:t xml:space="preserve">§ 1. </w:t>
      </w:r>
      <w:r w:rsidRPr="003D459D">
        <w:rPr>
          <w:rFonts w:ascii="Times New Roman" w:hAnsi="Times New Roman" w:cs="Times New Roman"/>
        </w:rPr>
        <w:t>1. W Uchwale Nr XXVI/142/2016 Rady Gminy Jednorożec z dnia 30 grudnia 2016 roku w sprawie "Wieloletniej Prognozy Finansowej Gminy Jednorożec na lata 2017-2026" wprowadza się następujące zmiany:</w:t>
      </w:r>
    </w:p>
    <w:p w:rsidR="003D459D" w:rsidRPr="003D459D" w:rsidRDefault="003D459D" w:rsidP="003D45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D459D">
        <w:rPr>
          <w:rFonts w:ascii="Times New Roman" w:hAnsi="Times New Roman" w:cs="Times New Roman"/>
        </w:rPr>
        <w:t>1) Załącznik nr 1 Wieloletnia Prognoza Finansowa Gminy Jednorożec na lata 2017-2026 otrzymuje brzmienie jak w załączniku Nr 1 do niniejszej uchwały.</w:t>
      </w:r>
    </w:p>
    <w:p w:rsidR="003D459D" w:rsidRPr="003D459D" w:rsidRDefault="003D459D" w:rsidP="003D45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D459D">
        <w:rPr>
          <w:rFonts w:ascii="Times New Roman" w:hAnsi="Times New Roman" w:cs="Times New Roman"/>
        </w:rPr>
        <w:t>2) Załącznik Nr 2 Wykaz przedsięwzięć do Wieloletniej Prognozy Finansowej Gminy Jednorożec realizowanych w latach 2017-2020 otrzymuje brzmienie jak w załączniku nr 2 do niniejszej uchwały.</w:t>
      </w:r>
    </w:p>
    <w:p w:rsidR="003D459D" w:rsidRPr="003D459D" w:rsidRDefault="003D459D" w:rsidP="003D45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D459D">
        <w:rPr>
          <w:rFonts w:ascii="Times New Roman" w:hAnsi="Times New Roman" w:cs="Times New Roman"/>
        </w:rPr>
        <w:t>3) Dołącza się objaśnienia przyjętych wartości w Wieloletniej Prognozie Finansowej Gminy Jednorożec na lata 2017-2026.</w:t>
      </w:r>
    </w:p>
    <w:p w:rsidR="003D459D" w:rsidRPr="003D459D" w:rsidRDefault="003D459D" w:rsidP="003D45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3D459D" w:rsidRPr="003D459D" w:rsidRDefault="003D459D" w:rsidP="003D45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D459D">
        <w:rPr>
          <w:rFonts w:ascii="Times New Roman" w:hAnsi="Times New Roman" w:cs="Times New Roman"/>
          <w:b/>
          <w:bCs/>
        </w:rPr>
        <w:t>§ 2.</w:t>
      </w:r>
      <w:r w:rsidRPr="003D459D">
        <w:rPr>
          <w:rFonts w:ascii="Times New Roman" w:hAnsi="Times New Roman" w:cs="Times New Roman"/>
        </w:rPr>
        <w:t>Wykonanie uchwały powierza się Wójtowi Gminy Jednorożec.</w:t>
      </w:r>
    </w:p>
    <w:p w:rsidR="003D459D" w:rsidRPr="003D459D" w:rsidRDefault="003D459D" w:rsidP="003D45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3D459D" w:rsidRPr="003D459D" w:rsidRDefault="003D459D" w:rsidP="003D45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D459D">
        <w:rPr>
          <w:rFonts w:ascii="Times New Roman" w:hAnsi="Times New Roman" w:cs="Times New Roman"/>
          <w:b/>
          <w:bCs/>
        </w:rPr>
        <w:t>§ 3.</w:t>
      </w:r>
      <w:r w:rsidRPr="003D459D">
        <w:rPr>
          <w:rFonts w:ascii="Times New Roman" w:hAnsi="Times New Roman" w:cs="Times New Roman"/>
        </w:rPr>
        <w:t>Uchwała wchodzi w życie z dniem podjęcia.</w:t>
      </w:r>
    </w:p>
    <w:p w:rsidR="003D459D" w:rsidRPr="003D459D" w:rsidRDefault="003D459D" w:rsidP="003D4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459D" w:rsidRPr="003D459D" w:rsidRDefault="003D459D" w:rsidP="003D4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459D" w:rsidRPr="003D459D" w:rsidRDefault="003D459D" w:rsidP="003D4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459D" w:rsidRPr="003D459D" w:rsidRDefault="003D459D" w:rsidP="003D4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D459D">
        <w:rPr>
          <w:rFonts w:ascii="Times New Roman" w:hAnsi="Times New Roman" w:cs="Times New Roman"/>
          <w:b/>
          <w:bCs/>
        </w:rPr>
        <w:tab/>
      </w:r>
      <w:r w:rsidRPr="003D459D">
        <w:rPr>
          <w:rFonts w:ascii="Times New Roman" w:hAnsi="Times New Roman" w:cs="Times New Roman"/>
          <w:b/>
          <w:bCs/>
        </w:rPr>
        <w:tab/>
      </w:r>
      <w:r w:rsidRPr="003D459D">
        <w:rPr>
          <w:rFonts w:ascii="Times New Roman" w:hAnsi="Times New Roman" w:cs="Times New Roman"/>
          <w:b/>
          <w:bCs/>
        </w:rPr>
        <w:tab/>
      </w:r>
      <w:r w:rsidRPr="003D459D">
        <w:rPr>
          <w:rFonts w:ascii="Times New Roman" w:hAnsi="Times New Roman" w:cs="Times New Roman"/>
          <w:b/>
          <w:bCs/>
        </w:rPr>
        <w:tab/>
        <w:t xml:space="preserve">                    /-/ Janusz </w:t>
      </w:r>
      <w:proofErr w:type="spellStart"/>
      <w:r w:rsidRPr="003D459D">
        <w:rPr>
          <w:rFonts w:ascii="Times New Roman" w:hAnsi="Times New Roman" w:cs="Times New Roman"/>
          <w:b/>
          <w:bCs/>
        </w:rPr>
        <w:t>Mizerek</w:t>
      </w:r>
      <w:proofErr w:type="spellEnd"/>
    </w:p>
    <w:p w:rsidR="003D459D" w:rsidRPr="003D459D" w:rsidRDefault="003D459D" w:rsidP="003D4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D459D">
        <w:rPr>
          <w:rFonts w:ascii="Times New Roman" w:hAnsi="Times New Roman" w:cs="Times New Roman"/>
          <w:b/>
          <w:bCs/>
        </w:rPr>
        <w:tab/>
      </w:r>
      <w:r w:rsidRPr="003D459D">
        <w:rPr>
          <w:rFonts w:ascii="Times New Roman" w:hAnsi="Times New Roman" w:cs="Times New Roman"/>
          <w:b/>
          <w:bCs/>
        </w:rPr>
        <w:tab/>
      </w:r>
      <w:r w:rsidRPr="003D459D">
        <w:rPr>
          <w:rFonts w:ascii="Times New Roman" w:hAnsi="Times New Roman" w:cs="Times New Roman"/>
          <w:b/>
          <w:bCs/>
        </w:rPr>
        <w:tab/>
      </w:r>
      <w:r w:rsidRPr="003D459D">
        <w:rPr>
          <w:rFonts w:ascii="Times New Roman" w:hAnsi="Times New Roman" w:cs="Times New Roman"/>
          <w:b/>
          <w:bCs/>
        </w:rPr>
        <w:tab/>
        <w:t>Przewodniczący Rady Gminy Jednorożec</w:t>
      </w:r>
    </w:p>
    <w:p w:rsidR="003D459D" w:rsidRPr="003D459D" w:rsidRDefault="003D459D" w:rsidP="003D4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2C86" w:rsidRDefault="00372C86"/>
    <w:p w:rsidR="0000242C" w:rsidRDefault="0000242C"/>
    <w:p w:rsidR="0000242C" w:rsidRDefault="0000242C"/>
    <w:p w:rsidR="0000242C" w:rsidRDefault="0000242C"/>
    <w:p w:rsidR="0000242C" w:rsidRDefault="0000242C"/>
    <w:p w:rsidR="0000242C" w:rsidRDefault="0000242C"/>
    <w:p w:rsidR="0000242C" w:rsidRDefault="0000242C"/>
    <w:p w:rsidR="0000242C" w:rsidRDefault="0000242C" w:rsidP="0000242C">
      <w:pPr>
        <w:pStyle w:val="Normal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Objaśnienia do Wieloletniej Prognozy Finansowej Gminy Jednorożec </w:t>
      </w:r>
    </w:p>
    <w:p w:rsidR="0000242C" w:rsidRDefault="0000242C" w:rsidP="0000242C">
      <w:pPr>
        <w:pStyle w:val="Normal"/>
        <w:jc w:val="center"/>
        <w:rPr>
          <w:rFonts w:ascii="Times New Roman" w:hAnsi="Times New Roman" w:cs="Times New Roman"/>
          <w:color w:val="000000"/>
        </w:rPr>
      </w:pPr>
    </w:p>
    <w:p w:rsidR="0000242C" w:rsidRDefault="0000242C" w:rsidP="0000242C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W Wieloletniej Prognozie Finansowej Gminy Jednorożec na rok 2017 przyjęto: </w:t>
      </w:r>
    </w:p>
    <w:p w:rsidR="0000242C" w:rsidRDefault="0000242C" w:rsidP="0000242C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 Dochody ogółem w kwocie 37.748.336,10 zł</w:t>
      </w:r>
      <w:r>
        <w:rPr>
          <w:rFonts w:ascii="Times New Roman" w:hAnsi="Times New Roman" w:cs="Times New Roman"/>
          <w:color w:val="000000"/>
        </w:rPr>
        <w:t>, w tym:</w:t>
      </w:r>
    </w:p>
    <w:p w:rsidR="0000242C" w:rsidRDefault="0000242C" w:rsidP="0000242C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dochody bieżące – 32.095.069,12 zł;</w:t>
      </w:r>
    </w:p>
    <w:p w:rsidR="0000242C" w:rsidRDefault="0000242C" w:rsidP="0000242C">
      <w:pPr>
        <w:pStyle w:val="Normal"/>
        <w:spacing w:line="360" w:lineRule="auto"/>
        <w:jc w:val="both"/>
        <w:rPr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 - dochody majątkowe- 5.653.266,98 zł.</w:t>
      </w:r>
    </w:p>
    <w:p w:rsidR="0000242C" w:rsidRDefault="0000242C" w:rsidP="0000242C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2. Wydatki ogółem w kwocie 36.548.336,10 zł,</w:t>
      </w:r>
      <w:r>
        <w:rPr>
          <w:rFonts w:ascii="Times New Roman" w:hAnsi="Times New Roman" w:cs="Times New Roman"/>
          <w:color w:val="000000"/>
        </w:rPr>
        <w:t xml:space="preserve"> w tym:</w:t>
      </w:r>
    </w:p>
    <w:p w:rsidR="0000242C" w:rsidRDefault="0000242C" w:rsidP="0000242C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wydatki bieżące - 28.890.577,23 zł, w tym na obsługę długu - 400.000,00 zł, </w:t>
      </w:r>
    </w:p>
    <w:p w:rsidR="0000242C" w:rsidRDefault="0000242C" w:rsidP="0000242C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wydatki majątkowe -7.657.758,87 zł, w tym 4.579.682,63 zł wydatki majątkowe na projekty  realizowane w 2017 roku przy udziale środków z Unii Europejskiej, z czego 3.641.375,71 zł finansowane środkami pochodzącymi z Unii Europejskiej. .</w:t>
      </w:r>
    </w:p>
    <w:p w:rsidR="0000242C" w:rsidRDefault="0000242C" w:rsidP="0000242C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 Rozchody w kwocie 1.200.000,00 zł </w:t>
      </w:r>
      <w:r>
        <w:rPr>
          <w:rFonts w:ascii="Times New Roman" w:hAnsi="Times New Roman" w:cs="Times New Roman"/>
          <w:color w:val="000000"/>
        </w:rPr>
        <w:t>- wykup obligacji komunalnych wyemitowanych w Powszechnej Kasie Oszczędności Bank Polski S.A.</w:t>
      </w:r>
    </w:p>
    <w:p w:rsidR="0000242C" w:rsidRDefault="0000242C" w:rsidP="0000242C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000000"/>
        </w:rPr>
        <w:t>5. Kwota długu - 10.000.000,00 zł</w:t>
      </w:r>
      <w:r>
        <w:rPr>
          <w:rFonts w:ascii="Times New Roman" w:hAnsi="Times New Roman" w:cs="Times New Roman"/>
          <w:color w:val="000000"/>
        </w:rPr>
        <w:t xml:space="preserve"> - wyemitowane obligacje komunalne.</w:t>
      </w:r>
    </w:p>
    <w:p w:rsidR="0000242C" w:rsidRDefault="0000242C" w:rsidP="0000242C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 Planowana łączna kwota spłaty zobowiązań w 2017 roku wynosi 4,24 %, przy dopuszczalnej spłacie 10,54 %</w:t>
      </w:r>
      <w:r>
        <w:rPr>
          <w:rFonts w:ascii="Times New Roman" w:hAnsi="Times New Roman" w:cs="Times New Roman"/>
          <w:color w:val="000000"/>
        </w:rPr>
        <w:t>.</w:t>
      </w:r>
    </w:p>
    <w:p w:rsidR="0000242C" w:rsidRDefault="0000242C" w:rsidP="0000242C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7. Planowany wskaźnik zadłużenia gminy wynosi 26,49 %</w:t>
      </w:r>
      <w:r>
        <w:rPr>
          <w:rFonts w:ascii="Times New Roman" w:hAnsi="Times New Roman" w:cs="Times New Roman"/>
          <w:color w:val="000000"/>
        </w:rPr>
        <w:t>.</w:t>
      </w:r>
    </w:p>
    <w:p w:rsidR="0000242C" w:rsidRDefault="0000242C" w:rsidP="0000242C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8. Wynik budżetu wynosi 1.200.000,00 zł </w:t>
      </w:r>
      <w:r>
        <w:rPr>
          <w:rFonts w:ascii="Times New Roman" w:hAnsi="Times New Roman" w:cs="Times New Roman"/>
          <w:color w:val="000000"/>
        </w:rPr>
        <w:t>- nadwyżka budżetu gminy, która zostanie przeznaczona na wykup obligacji komunalnych.</w:t>
      </w:r>
    </w:p>
    <w:p w:rsidR="0000242C" w:rsidRDefault="0000242C" w:rsidP="0000242C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00242C" w:rsidRDefault="0000242C" w:rsidP="0000242C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PRZEDSIĘWZIĘCIA ROK 2017</w:t>
      </w:r>
    </w:p>
    <w:p w:rsidR="0000242C" w:rsidRDefault="0000242C" w:rsidP="0000242C">
      <w:pPr>
        <w:pStyle w:val="Normal"/>
        <w:spacing w:line="36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ab/>
        <w:t>W ramach przedsięwzięć dostosowano łączne nakłady finansowe do wydatków poniesionych w 2016 roku.</w:t>
      </w:r>
    </w:p>
    <w:p w:rsidR="0000242C" w:rsidRDefault="0000242C" w:rsidP="0000242C">
      <w:pPr>
        <w:pStyle w:val="Normal"/>
        <w:spacing w:line="360" w:lineRule="auto"/>
        <w:jc w:val="both"/>
        <w:rPr>
          <w:color w:val="000000"/>
        </w:rPr>
      </w:pPr>
    </w:p>
    <w:p w:rsidR="0000242C" w:rsidRDefault="0000242C" w:rsidP="0000242C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WYDATKI BIEŻĄCE</w:t>
      </w:r>
    </w:p>
    <w:p w:rsidR="0000242C" w:rsidRDefault="0000242C" w:rsidP="0000242C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</w:rPr>
        <w:t>"Forum Sekretarzy"</w:t>
      </w:r>
      <w:r>
        <w:rPr>
          <w:rFonts w:ascii="Times New Roman" w:hAnsi="Times New Roman" w:cs="Times New Roman"/>
          <w:color w:val="000000"/>
        </w:rPr>
        <w:t xml:space="preserve"> - dokonuje się zwiększenia limitu wydatków na 2017 rok w kwocie 165,00 zł.</w:t>
      </w:r>
    </w:p>
    <w:p w:rsidR="0000242C" w:rsidRDefault="0000242C" w:rsidP="0000242C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WYDATKI MAJĄTKOWE</w:t>
      </w:r>
    </w:p>
    <w:p w:rsidR="0000242C" w:rsidRDefault="0000242C" w:rsidP="0000242C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</w:rPr>
        <w:t>"Rekultywacja składowiska odpadów stałych w Jednorożcu"</w:t>
      </w:r>
      <w:r>
        <w:rPr>
          <w:rFonts w:ascii="Times New Roman" w:hAnsi="Times New Roman" w:cs="Times New Roman"/>
          <w:color w:val="000000"/>
        </w:rPr>
        <w:t xml:space="preserve"> - w związku z brakiem poniesionych nakładów finansowych w 2016 roku w/w przedsięwzięcie staje się zadaniem jednorocznym.</w:t>
      </w:r>
    </w:p>
    <w:p w:rsidR="0000242C" w:rsidRDefault="0000242C"/>
    <w:sectPr w:rsidR="0000242C" w:rsidSect="002B409F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D459D"/>
    <w:rsid w:val="0000242C"/>
    <w:rsid w:val="00372C86"/>
    <w:rsid w:val="003D459D"/>
    <w:rsid w:val="00B0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D45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2017-03-14T13:13:00Z</dcterms:created>
  <dcterms:modified xsi:type="dcterms:W3CDTF">2017-03-14T13:16:00Z</dcterms:modified>
</cp:coreProperties>
</file>