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687B2646" w:rsidR="00976365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Jednorożec,</w:t>
      </w:r>
      <w:r w:rsidR="00BE721B">
        <w:rPr>
          <w:rFonts w:eastAsia="Times New Roman" w:cs="Times New Roman"/>
          <w:sz w:val="24"/>
          <w:szCs w:val="24"/>
          <w:lang w:eastAsia="pl-PL"/>
        </w:rPr>
        <w:t xml:space="preserve"> 09 kwietnia 2026 </w:t>
      </w:r>
      <w:r w:rsidR="004727B9">
        <w:rPr>
          <w:rFonts w:eastAsia="Times New Roman" w:cs="Times New Roman"/>
          <w:sz w:val="24"/>
          <w:szCs w:val="24"/>
          <w:lang w:eastAsia="pl-PL"/>
        </w:rPr>
        <w:t>r.</w:t>
      </w:r>
    </w:p>
    <w:p w14:paraId="2C1F4735" w14:textId="2FF71AE7" w:rsidR="002D284B" w:rsidRPr="006E415B" w:rsidRDefault="006E415B" w:rsidP="006E415B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E415B">
        <w:rPr>
          <w:rFonts w:eastAsia="Times New Roman" w:cs="Times New Roman"/>
          <w:b/>
          <w:bCs/>
          <w:sz w:val="24"/>
          <w:szCs w:val="24"/>
          <w:lang w:eastAsia="pl-PL"/>
        </w:rPr>
        <w:t>WÓJT GMINY JEDNOROŻEC</w:t>
      </w:r>
    </w:p>
    <w:p w14:paraId="6009D631" w14:textId="08473E39" w:rsidR="0078445F" w:rsidRPr="00A03C76" w:rsidRDefault="0078445F" w:rsidP="00A03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</w:t>
      </w:r>
      <w:r w:rsidR="004727B9">
        <w:rPr>
          <w:rFonts w:eastAsia="Times New Roman" w:cs="Times New Roman"/>
          <w:sz w:val="24"/>
          <w:szCs w:val="24"/>
          <w:lang w:eastAsia="pl-PL"/>
        </w:rPr>
        <w:t>.</w:t>
      </w:r>
      <w:r w:rsidR="00BE721B">
        <w:rPr>
          <w:rFonts w:eastAsia="Times New Roman" w:cs="Times New Roman"/>
          <w:sz w:val="24"/>
          <w:szCs w:val="24"/>
          <w:lang w:eastAsia="pl-PL"/>
        </w:rPr>
        <w:t>1</w:t>
      </w:r>
      <w:r w:rsidR="004727B9">
        <w:rPr>
          <w:rFonts w:eastAsia="Times New Roman" w:cs="Times New Roman"/>
          <w:sz w:val="24"/>
          <w:szCs w:val="24"/>
          <w:lang w:eastAsia="pl-PL"/>
        </w:rPr>
        <w:t>.202</w:t>
      </w:r>
      <w:r w:rsidR="00BE721B">
        <w:rPr>
          <w:rFonts w:eastAsia="Times New Roman" w:cs="Times New Roman"/>
          <w:sz w:val="24"/>
          <w:szCs w:val="24"/>
          <w:lang w:eastAsia="pl-PL"/>
        </w:rPr>
        <w:t>6</w:t>
      </w:r>
    </w:p>
    <w:p w14:paraId="746B0AD6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98BA94E" w14:textId="1BF4F49E"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  <w:r w:rsidR="0045791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DEAEF07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2CE4BC6D" w14:textId="77777777" w:rsidR="0078445F" w:rsidRPr="006A63D1" w:rsidRDefault="0078445F" w:rsidP="00A03C76">
      <w:pPr>
        <w:spacing w:after="0" w:line="360" w:lineRule="auto"/>
        <w:jc w:val="both"/>
        <w:rPr>
          <w:rFonts w:eastAsia="Times New Roman" w:cs="Times New Roman"/>
          <w:sz w:val="6"/>
          <w:szCs w:val="6"/>
          <w:lang w:eastAsia="pl-PL"/>
        </w:rPr>
      </w:pPr>
    </w:p>
    <w:p w14:paraId="4AF4D579" w14:textId="73C04336" w:rsidR="00323F21" w:rsidRPr="00A03C76" w:rsidRDefault="0078445F" w:rsidP="00323F2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Działając na podstawie art. 73 ust. 1 ustawy z dnia 3 października 2008</w:t>
      </w:r>
      <w:r w:rsidR="00DF79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r.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>(Dz.U. z 20</w:t>
      </w:r>
      <w:r w:rsidR="0045791A">
        <w:rPr>
          <w:rFonts w:eastAsia="Times New Roman" w:cs="Times New Roman"/>
          <w:sz w:val="24"/>
          <w:szCs w:val="24"/>
          <w:lang w:eastAsia="pl-PL"/>
        </w:rPr>
        <w:t>2</w:t>
      </w:r>
      <w:r w:rsidR="004727B9">
        <w:rPr>
          <w:rFonts w:eastAsia="Times New Roman" w:cs="Times New Roman"/>
          <w:sz w:val="24"/>
          <w:szCs w:val="24"/>
          <w:lang w:eastAsia="pl-PL"/>
        </w:rPr>
        <w:t>4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1C3551">
        <w:rPr>
          <w:rFonts w:eastAsia="Times New Roman" w:cs="Times New Roman"/>
          <w:sz w:val="24"/>
          <w:szCs w:val="24"/>
          <w:lang w:eastAsia="pl-PL"/>
        </w:rPr>
        <w:t>1112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ze zm. – zwanej dalej ustawa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) oraz art. 61 § 4 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A03C76">
        <w:rPr>
          <w:rFonts w:eastAsia="Times New Roman" w:cs="Times New Roman"/>
          <w:sz w:val="24"/>
          <w:szCs w:val="24"/>
          <w:lang w:eastAsia="pl-PL"/>
        </w:rPr>
        <w:t>art. 49 ustawy z dnia 14 czerwca 1960r. - Kodeks postępowania administracyjnego (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>Dz.U. z 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F078CA">
        <w:rPr>
          <w:rFonts w:eastAsia="Times New Roman" w:cs="Times New Roman"/>
          <w:sz w:val="24"/>
          <w:szCs w:val="24"/>
          <w:lang w:eastAsia="pl-PL"/>
        </w:rPr>
        <w:t>5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r., poz.</w:t>
      </w:r>
      <w:r w:rsidR="00BE721B">
        <w:rPr>
          <w:rFonts w:eastAsia="Times New Roman" w:cs="Times New Roman"/>
          <w:sz w:val="24"/>
          <w:szCs w:val="24"/>
          <w:lang w:eastAsia="pl-PL"/>
        </w:rPr>
        <w:t xml:space="preserve"> 1691</w:t>
      </w:r>
      <w:r w:rsidRPr="00A03C76">
        <w:rPr>
          <w:rFonts w:eastAsia="Times New Roman" w:cs="Times New Roman"/>
          <w:sz w:val="24"/>
          <w:szCs w:val="24"/>
          <w:lang w:eastAsia="pl-PL"/>
        </w:rPr>
        <w:t>), Wójt Gminy Jednorożec</w:t>
      </w:r>
    </w:p>
    <w:p w14:paraId="3449E7DA" w14:textId="2F675ACA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zawiadamia</w:t>
      </w:r>
    </w:p>
    <w:p w14:paraId="2D5D0F8E" w14:textId="7759F642" w:rsidR="00417D31" w:rsidRPr="00417D31" w:rsidRDefault="00417D31" w:rsidP="00F078CA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78CA">
        <w:rPr>
          <w:rFonts w:eastAsia="Times New Roman" w:cs="Arial"/>
          <w:sz w:val="24"/>
          <w:szCs w:val="24"/>
          <w:lang w:eastAsia="pl-PL"/>
        </w:rPr>
        <w:t>że na wniosek</w:t>
      </w:r>
      <w:r w:rsidR="00F078CA" w:rsidRPr="00F078CA">
        <w:rPr>
          <w:rFonts w:eastAsia="Times New Roman" w:cs="Arial"/>
          <w:sz w:val="24"/>
          <w:szCs w:val="24"/>
          <w:lang w:eastAsia="pl-PL"/>
        </w:rPr>
        <w:t xml:space="preserve"> </w:t>
      </w:r>
      <w:r w:rsidR="00BE721B">
        <w:rPr>
          <w:rFonts w:eastAsia="Times New Roman" w:cs="Arial"/>
          <w:sz w:val="24"/>
          <w:szCs w:val="24"/>
          <w:lang w:eastAsia="pl-PL"/>
        </w:rPr>
        <w:t xml:space="preserve">Inwestora Gminy Jednorożec </w:t>
      </w:r>
      <w:r w:rsidRPr="00F078CA">
        <w:rPr>
          <w:rFonts w:eastAsia="Times New Roman" w:cs="Arial"/>
          <w:sz w:val="24"/>
          <w:szCs w:val="24"/>
          <w:lang w:eastAsia="pl-PL"/>
        </w:rPr>
        <w:t>zostało wszczęte postępowanie administracyjne</w:t>
      </w:r>
      <w:r w:rsidR="00912A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78CA">
        <w:rPr>
          <w:rFonts w:eastAsia="Times New Roman" w:cs="Arial"/>
          <w:sz w:val="24"/>
          <w:szCs w:val="24"/>
          <w:lang w:eastAsia="pl-PL"/>
        </w:rPr>
        <w:t xml:space="preserve">w sprawie wydania decyzji o środowiskowych uwarunkowaniach dla przedsięwzięcia polegającego na: </w:t>
      </w:r>
      <w:r w:rsidR="00BE721B" w:rsidRPr="00082F5C">
        <w:rPr>
          <w:sz w:val="23"/>
          <w:szCs w:val="23"/>
        </w:rPr>
        <w:t>„Budowie sieci kanalizacji sanitarnej na terenie działek nr ew. 141, 200/11, 200/20, 200/21, 200/22, 200/23, 252/1, 252/2, 253/1, 254/1, 254/2, 254/17, 254/19, 254/47, 264 w miejscowości Jednorożec”</w:t>
      </w:r>
      <w:r w:rsidR="00BE721B">
        <w:rPr>
          <w:sz w:val="23"/>
          <w:szCs w:val="23"/>
        </w:rPr>
        <w:t xml:space="preserve"> </w:t>
      </w:r>
      <w:r w:rsidR="00BE721B">
        <w:rPr>
          <w:rFonts w:cs="Arial"/>
          <w:sz w:val="24"/>
          <w:szCs w:val="24"/>
        </w:rPr>
        <w:t>powiat przasnyski, województwo mazowieckie</w:t>
      </w:r>
      <w:r w:rsidR="00792D51">
        <w:rPr>
          <w:rFonts w:cs="Arial"/>
          <w:sz w:val="24"/>
          <w:szCs w:val="24"/>
        </w:rPr>
        <w:t>.</w:t>
      </w:r>
    </w:p>
    <w:p w14:paraId="33655541" w14:textId="07E6D05C" w:rsidR="0078445F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w zakresie konieczności przeprowadzenia oceny oddziaływania planowanego przedsięwzięcia na środowisko.</w:t>
      </w:r>
    </w:p>
    <w:p w14:paraId="51845C21" w14:textId="48D6042F" w:rsidR="0078445F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W oparciu o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 art. 8 oraz art. 21 ust. 1 ustawy </w:t>
      </w:r>
      <w:proofErr w:type="spellStart"/>
      <w:r w:rsidR="0078445F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dla ww. przedsięwzięcia został umieszczony </w:t>
      </w:r>
      <w:r w:rsidR="00066E0F"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w publicznie </w:t>
      </w:r>
      <w:r w:rsidR="00417D31">
        <w:rPr>
          <w:rFonts w:eastAsia="Times New Roman" w:cs="Times New Roman"/>
          <w:sz w:val="24"/>
          <w:szCs w:val="24"/>
          <w:lang w:eastAsia="pl-PL"/>
        </w:rPr>
        <w:t>dostępnym wykazie danych o środowisku.</w:t>
      </w:r>
    </w:p>
    <w:p w14:paraId="56A6D3A0" w14:textId="301B6E1F" w:rsidR="008F3DE0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Informuje się o uprawnieniach wszystkich stron tego post</w:t>
      </w:r>
      <w:r w:rsidR="00D50D44">
        <w:rPr>
          <w:rFonts w:eastAsia="Times New Roman" w:cs="Times New Roman"/>
          <w:sz w:val="24"/>
          <w:szCs w:val="24"/>
          <w:lang w:eastAsia="pl-PL"/>
        </w:rPr>
        <w:t>ę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powania – wynikających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z ar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t</w:t>
      </w:r>
      <w:r w:rsidRPr="00A03C76">
        <w:rPr>
          <w:rFonts w:eastAsia="Times New Roman" w:cs="Times New Roman"/>
          <w:sz w:val="24"/>
          <w:szCs w:val="24"/>
          <w:lang w:eastAsia="pl-PL"/>
        </w:rPr>
        <w:t>. 10 Kpa – do czynnego udziału w każdym jego st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a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dium oraz możliwości składania uwag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i wniosków</w:t>
      </w:r>
      <w:r w:rsidR="00F078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w Urzędzie Gminy w Jednorożcu, ul. Odrodzenia 14, 06-323 </w:t>
      </w:r>
      <w:r w:rsidR="00094749" w:rsidRPr="00A03C76">
        <w:rPr>
          <w:rFonts w:eastAsia="Times New Roman" w:cs="Times New Roman"/>
          <w:sz w:val="24"/>
          <w:szCs w:val="24"/>
          <w:lang w:eastAsia="pl-PL"/>
        </w:rPr>
        <w:t>J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ednorożec </w:t>
      </w:r>
      <w:r w:rsidR="00D50D44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(pok. </w:t>
      </w:r>
      <w:r w:rsidR="00D50D44">
        <w:rPr>
          <w:rFonts w:eastAsia="Times New Roman" w:cs="Times New Roman"/>
          <w:sz w:val="24"/>
          <w:szCs w:val="24"/>
          <w:lang w:eastAsia="pl-PL"/>
        </w:rPr>
        <w:t>n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12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), tel. (29) 751 70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39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, w godz. od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>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>0 do 15: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0, w terminie </w:t>
      </w:r>
      <w:r w:rsidR="008F32D2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dni od dnia otrzymania niniejszego zawiadomienia.</w:t>
      </w:r>
    </w:p>
    <w:p w14:paraId="260F786E" w14:textId="63E81F22" w:rsidR="00040DAC" w:rsidRPr="00A03C76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74 ust. 3 </w:t>
      </w:r>
      <w:proofErr w:type="spellStart"/>
      <w:r w:rsidR="00040DAC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466217" w:rsidRPr="00A03C76">
        <w:rPr>
          <w:rFonts w:eastAsia="Times New Roman" w:cs="Times New Roman"/>
          <w:sz w:val="24"/>
          <w:szCs w:val="24"/>
          <w:lang w:eastAsia="pl-PL"/>
        </w:rPr>
        <w:t>,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jeżeli liczba stron postępowania w sprawie wydania decyzji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lub innego postępowania dotyczącego tej decyzji przekracza 10, stosuje się art. 49 k.p.a. </w:t>
      </w:r>
    </w:p>
    <w:p w14:paraId="7AD8D59A" w14:textId="0A019D5A" w:rsidR="005666EC" w:rsidRPr="00A03C76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Stosując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 art. 49 k.p.a. zawiadomienie stron o decyzjach i innych czynnościach organu administracji publicznej może nastąpić w formie publicznego obwieszczenia, w innej formie publicznego ogłoszenia zwyczajowo przyjętej w danej miejscowości lub przez udostępnienie pisma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w Biuletynie Informacji Publicznej na stronie podmiotowej właściwego organu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lastRenderedPageBreak/>
        <w:t xml:space="preserve">administracji publicznej. Zawiadomienie uważa się za dokonane po upływie czternastu dni </w:t>
      </w:r>
      <w:r w:rsidR="00E177C2">
        <w:rPr>
          <w:rFonts w:eastAsia="Times New Roman" w:cs="Times New Roman"/>
          <w:sz w:val="24"/>
          <w:szCs w:val="24"/>
          <w:lang w:eastAsia="pl-PL"/>
        </w:rPr>
        <w:br/>
        <w:t>o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d dnia, w którym nastąpiło publiczne obwieszczenie, inne publiczne ogłoszenie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14:paraId="72ACBBE5" w14:textId="3C3F8490" w:rsidR="006F5599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W oparciu o 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art. 74 ust. 3a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 „Stroną postępowania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16B54C5E" w14:textId="2E5933B8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D50D44">
        <w:rPr>
          <w:rFonts w:eastAsia="Times New Roman" w:cs="Times New Roman"/>
          <w:sz w:val="24"/>
          <w:szCs w:val="24"/>
          <w:lang w:eastAsia="pl-PL"/>
        </w:rPr>
        <w:t>przewidywany teren, na którym będzie realizowane przedsięwzięcie oraz obszar znajdujący się w odległości 100 m od granic tego terenu</w:t>
      </w:r>
      <w:r w:rsidRPr="00A03C76">
        <w:rPr>
          <w:rFonts w:eastAsia="Times New Roman" w:cs="Times New Roman"/>
          <w:sz w:val="24"/>
          <w:szCs w:val="24"/>
          <w:lang w:eastAsia="pl-PL"/>
        </w:rPr>
        <w:t>;</w:t>
      </w:r>
    </w:p>
    <w:p w14:paraId="5285F621" w14:textId="2E710C99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2) działki, na których w wyniku realizacji</w:t>
      </w:r>
      <w:r w:rsidR="00C023BE">
        <w:rPr>
          <w:rFonts w:eastAsia="Times New Roman" w:cs="Times New Roman"/>
          <w:sz w:val="24"/>
          <w:szCs w:val="24"/>
          <w:lang w:eastAsia="pl-PL"/>
        </w:rPr>
        <w:t xml:space="preserve">, eksploatacji lub użytkowania przedsięwzięcia zostałyby przekroczone </w:t>
      </w:r>
      <w:r w:rsidR="00E77213">
        <w:rPr>
          <w:rFonts w:eastAsia="Times New Roman" w:cs="Times New Roman"/>
          <w:sz w:val="24"/>
          <w:szCs w:val="24"/>
          <w:lang w:eastAsia="pl-PL"/>
        </w:rPr>
        <w:t>standardy jakości środowiska;</w:t>
      </w:r>
    </w:p>
    <w:p w14:paraId="3EF3B53D" w14:textId="784024CE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przeznaczeniem.”.</w:t>
      </w:r>
    </w:p>
    <w:p w14:paraId="6E905C4A" w14:textId="2B47C160" w:rsidR="00E64097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0B0056B9" w14:textId="77777777" w:rsidR="00AE5C63" w:rsidRPr="00A03C76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E54D1A8" w14:textId="71E91054" w:rsidR="00AE5C63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315E92" w14:textId="77777777" w:rsidR="00622E36" w:rsidRDefault="00622E36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14251FE" w14:textId="77777777" w:rsidR="006E415B" w:rsidRPr="00332B70" w:rsidRDefault="006E415B" w:rsidP="006E415B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332B70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585040EF" w14:textId="77777777" w:rsidR="006E415B" w:rsidRPr="00332B70" w:rsidRDefault="006E415B" w:rsidP="006E415B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332B70">
        <w:rPr>
          <w:rFonts w:ascii="Calibri" w:hAnsi="Calibri" w:cs="Calibri"/>
          <w:b/>
          <w:bCs/>
          <w:sz w:val="23"/>
          <w:szCs w:val="23"/>
        </w:rPr>
        <w:t xml:space="preserve">/-/ Krzysztof </w:t>
      </w:r>
      <w:proofErr w:type="spellStart"/>
      <w:r w:rsidRPr="00332B70"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44D22636" w14:textId="77777777" w:rsidR="00D279ED" w:rsidRDefault="00D279ED" w:rsidP="006E415B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4098A400" w14:textId="77777777" w:rsidR="006A63D1" w:rsidRDefault="006A63D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EA87CA1" w14:textId="77777777" w:rsidR="00792D51" w:rsidRDefault="00792D5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41F7549" w14:textId="77777777" w:rsidR="00792D51" w:rsidRPr="00A03C76" w:rsidRDefault="00792D51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FC9471" w14:textId="270BADC2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0F688A8D" w14:textId="36F51D37" w:rsidR="00FC4D63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</w:t>
      </w:r>
      <w:r w:rsidR="00E77213">
        <w:rPr>
          <w:rFonts w:eastAsia="Times New Roman" w:cs="Times New Roman"/>
          <w:sz w:val="24"/>
          <w:szCs w:val="24"/>
          <w:lang w:eastAsia="pl-PL"/>
        </w:rPr>
        <w:t xml:space="preserve">ustawy </w:t>
      </w:r>
      <w:proofErr w:type="spellStart"/>
      <w:r w:rsidR="00E77213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E77213">
        <w:rPr>
          <w:rFonts w:eastAsia="Times New Roman" w:cs="Times New Roman"/>
          <w:sz w:val="24"/>
          <w:szCs w:val="24"/>
          <w:lang w:eastAsia="pl-PL"/>
        </w:rPr>
        <w:t>) niniejsze zawiadomienie zostało podane do publicznej wiadomości na okres czternastu dni poprzez zamieszczenie na tablicy ogłoszeń Urzędu Gminy w Jednorożcu, a także</w:t>
      </w:r>
      <w:r w:rsidR="00EB6CBE">
        <w:rPr>
          <w:rFonts w:eastAsia="Times New Roman" w:cs="Times New Roman"/>
          <w:sz w:val="24"/>
          <w:szCs w:val="24"/>
          <w:lang w:eastAsia="pl-PL"/>
        </w:rPr>
        <w:br/>
      </w:r>
      <w:r w:rsidR="00E77213">
        <w:rPr>
          <w:rFonts w:eastAsia="Times New Roman" w:cs="Times New Roman"/>
          <w:sz w:val="24"/>
          <w:szCs w:val="24"/>
          <w:lang w:eastAsia="pl-PL"/>
        </w:rPr>
        <w:t>w Biuletynie Informacji Publicznej Urzędu Gminy w Jednorożcu;</w:t>
      </w:r>
    </w:p>
    <w:p w14:paraId="0C8A089B" w14:textId="3ADE7886" w:rsidR="00622E36" w:rsidRDefault="00E77213" w:rsidP="00622E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a/a.</w:t>
      </w:r>
    </w:p>
    <w:p w14:paraId="0F67A5B3" w14:textId="77777777" w:rsidR="00586254" w:rsidRPr="00586254" w:rsidRDefault="00586254" w:rsidP="00586254">
      <w:pPr>
        <w:pStyle w:val="Akapitzlist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4C3738A" w14:textId="5E30C758" w:rsidR="00586254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Sporządził</w:t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a:</w:t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</w:t>
      </w:r>
    </w:p>
    <w:p w14:paraId="32861AB7" w14:textId="7DBF6328" w:rsidR="006A63D1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Magdalena Kurzac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</w:t>
      </w:r>
    </w:p>
    <w:p w14:paraId="1BF2D18F" w14:textId="74CB4779" w:rsidR="00E77213" w:rsidRPr="00E77213" w:rsidRDefault="006A63D1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(</w:t>
      </w:r>
      <w:r w:rsidR="00D278D6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29) 751-70-39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sectPr w:rsidR="00E77213" w:rsidRPr="00E77213" w:rsidSect="0058625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C759" w14:textId="77777777" w:rsidR="00AA48FB" w:rsidRDefault="00AA48FB" w:rsidP="002D26B3">
      <w:pPr>
        <w:spacing w:after="0" w:line="240" w:lineRule="auto"/>
      </w:pPr>
      <w:r>
        <w:separator/>
      </w:r>
    </w:p>
  </w:endnote>
  <w:endnote w:type="continuationSeparator" w:id="0">
    <w:p w14:paraId="38B855DE" w14:textId="77777777" w:rsidR="00AA48FB" w:rsidRDefault="00AA48FB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8EC5" w14:textId="77777777" w:rsidR="00AA48FB" w:rsidRDefault="00AA48FB" w:rsidP="002D26B3">
      <w:pPr>
        <w:spacing w:after="0" w:line="240" w:lineRule="auto"/>
      </w:pPr>
      <w:r>
        <w:separator/>
      </w:r>
    </w:p>
  </w:footnote>
  <w:footnote w:type="continuationSeparator" w:id="0">
    <w:p w14:paraId="66607B04" w14:textId="77777777" w:rsidR="00AA48FB" w:rsidRDefault="00AA48FB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9A0"/>
    <w:multiLevelType w:val="hybridMultilevel"/>
    <w:tmpl w:val="2EE2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2523">
    <w:abstractNumId w:val="1"/>
  </w:num>
  <w:num w:numId="2" w16cid:durableId="945380974">
    <w:abstractNumId w:val="2"/>
  </w:num>
  <w:num w:numId="3" w16cid:durableId="18830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E68D0"/>
    <w:rsid w:val="00163FA4"/>
    <w:rsid w:val="001A3869"/>
    <w:rsid w:val="001C3551"/>
    <w:rsid w:val="001C59A7"/>
    <w:rsid w:val="001C7ABA"/>
    <w:rsid w:val="001D44F7"/>
    <w:rsid w:val="001D635D"/>
    <w:rsid w:val="001F051C"/>
    <w:rsid w:val="001F6E92"/>
    <w:rsid w:val="002A3608"/>
    <w:rsid w:val="002A684A"/>
    <w:rsid w:val="002D26B3"/>
    <w:rsid w:val="002D284B"/>
    <w:rsid w:val="002D6F82"/>
    <w:rsid w:val="003176A7"/>
    <w:rsid w:val="00323F21"/>
    <w:rsid w:val="003538EB"/>
    <w:rsid w:val="00362633"/>
    <w:rsid w:val="003A4764"/>
    <w:rsid w:val="003B2043"/>
    <w:rsid w:val="003D3EB4"/>
    <w:rsid w:val="003D47D1"/>
    <w:rsid w:val="003E12D0"/>
    <w:rsid w:val="003E68EC"/>
    <w:rsid w:val="003E7E4F"/>
    <w:rsid w:val="003F28E0"/>
    <w:rsid w:val="003F4A1A"/>
    <w:rsid w:val="003F4F87"/>
    <w:rsid w:val="00415C68"/>
    <w:rsid w:val="00417979"/>
    <w:rsid w:val="00417D31"/>
    <w:rsid w:val="00430EAC"/>
    <w:rsid w:val="00447DB4"/>
    <w:rsid w:val="00447F06"/>
    <w:rsid w:val="0045791A"/>
    <w:rsid w:val="00466217"/>
    <w:rsid w:val="004727B9"/>
    <w:rsid w:val="004C59D3"/>
    <w:rsid w:val="005532DF"/>
    <w:rsid w:val="005666EC"/>
    <w:rsid w:val="00586254"/>
    <w:rsid w:val="005D4F50"/>
    <w:rsid w:val="005D608A"/>
    <w:rsid w:val="005E16DF"/>
    <w:rsid w:val="005F5C7F"/>
    <w:rsid w:val="00602356"/>
    <w:rsid w:val="00612138"/>
    <w:rsid w:val="00622E36"/>
    <w:rsid w:val="00652D8A"/>
    <w:rsid w:val="006550EE"/>
    <w:rsid w:val="0065642D"/>
    <w:rsid w:val="00657C87"/>
    <w:rsid w:val="0067389D"/>
    <w:rsid w:val="006A63D1"/>
    <w:rsid w:val="006A6E59"/>
    <w:rsid w:val="006B3391"/>
    <w:rsid w:val="006D444E"/>
    <w:rsid w:val="006D7736"/>
    <w:rsid w:val="006E415B"/>
    <w:rsid w:val="006F0096"/>
    <w:rsid w:val="006F5599"/>
    <w:rsid w:val="007642B1"/>
    <w:rsid w:val="00776F9B"/>
    <w:rsid w:val="0078445F"/>
    <w:rsid w:val="00792D51"/>
    <w:rsid w:val="007B2CB3"/>
    <w:rsid w:val="00823420"/>
    <w:rsid w:val="0084775C"/>
    <w:rsid w:val="00890E4B"/>
    <w:rsid w:val="008B38EF"/>
    <w:rsid w:val="008B5BF0"/>
    <w:rsid w:val="008B5C1B"/>
    <w:rsid w:val="008E42AF"/>
    <w:rsid w:val="008F32D2"/>
    <w:rsid w:val="008F3DE0"/>
    <w:rsid w:val="00904144"/>
    <w:rsid w:val="00912AA2"/>
    <w:rsid w:val="00974626"/>
    <w:rsid w:val="00976365"/>
    <w:rsid w:val="00984EEC"/>
    <w:rsid w:val="009E31DC"/>
    <w:rsid w:val="009E60E0"/>
    <w:rsid w:val="00A03C76"/>
    <w:rsid w:val="00A1712D"/>
    <w:rsid w:val="00A213E4"/>
    <w:rsid w:val="00A32210"/>
    <w:rsid w:val="00A448BA"/>
    <w:rsid w:val="00A45F4A"/>
    <w:rsid w:val="00A73FA9"/>
    <w:rsid w:val="00A83F7C"/>
    <w:rsid w:val="00A9372C"/>
    <w:rsid w:val="00A95E04"/>
    <w:rsid w:val="00AA48FB"/>
    <w:rsid w:val="00AB1734"/>
    <w:rsid w:val="00AD5D17"/>
    <w:rsid w:val="00AE5C63"/>
    <w:rsid w:val="00AE6A2D"/>
    <w:rsid w:val="00AF65D3"/>
    <w:rsid w:val="00B309A9"/>
    <w:rsid w:val="00B342DB"/>
    <w:rsid w:val="00B80F29"/>
    <w:rsid w:val="00BA0608"/>
    <w:rsid w:val="00BB43E2"/>
    <w:rsid w:val="00BD3D71"/>
    <w:rsid w:val="00BE721B"/>
    <w:rsid w:val="00C023BE"/>
    <w:rsid w:val="00C64DBC"/>
    <w:rsid w:val="00C75A07"/>
    <w:rsid w:val="00C83A71"/>
    <w:rsid w:val="00CC5683"/>
    <w:rsid w:val="00CC5FE4"/>
    <w:rsid w:val="00D04DBA"/>
    <w:rsid w:val="00D278D6"/>
    <w:rsid w:val="00D279ED"/>
    <w:rsid w:val="00D50D44"/>
    <w:rsid w:val="00D556ED"/>
    <w:rsid w:val="00D6167D"/>
    <w:rsid w:val="00DC40AF"/>
    <w:rsid w:val="00DF7981"/>
    <w:rsid w:val="00E1382C"/>
    <w:rsid w:val="00E177C2"/>
    <w:rsid w:val="00E23727"/>
    <w:rsid w:val="00E244B4"/>
    <w:rsid w:val="00E64097"/>
    <w:rsid w:val="00E65B6B"/>
    <w:rsid w:val="00E77213"/>
    <w:rsid w:val="00EB6CBE"/>
    <w:rsid w:val="00EC350F"/>
    <w:rsid w:val="00ED5761"/>
    <w:rsid w:val="00EF4151"/>
    <w:rsid w:val="00F034B1"/>
    <w:rsid w:val="00F0619F"/>
    <w:rsid w:val="00F078CA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7</cp:revision>
  <cp:lastPrinted>2026-04-09T08:10:00Z</cp:lastPrinted>
  <dcterms:created xsi:type="dcterms:W3CDTF">2026-04-08T12:50:00Z</dcterms:created>
  <dcterms:modified xsi:type="dcterms:W3CDTF">2026-05-14T08:56:00Z</dcterms:modified>
</cp:coreProperties>
</file>