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89D58" w14:textId="77777777" w:rsidR="00E252D8" w:rsidRPr="00E252D8" w:rsidRDefault="00E252D8" w:rsidP="00E252D8">
      <w:pPr>
        <w:pStyle w:val="Nagwek6"/>
        <w:spacing w:before="0" w:line="360" w:lineRule="auto"/>
        <w:jc w:val="center"/>
        <w:rPr>
          <w:rFonts w:ascii="Calibri" w:hAnsi="Calibri" w:cs="Calibri"/>
          <w:b/>
          <w:bCs/>
          <w:i w:val="0"/>
          <w:iCs w:val="0"/>
          <w:color w:val="auto"/>
          <w:sz w:val="24"/>
          <w:szCs w:val="24"/>
        </w:rPr>
      </w:pPr>
      <w:r w:rsidRPr="00E252D8">
        <w:rPr>
          <w:rFonts w:ascii="Calibri" w:hAnsi="Calibri" w:cs="Calibri"/>
          <w:b/>
          <w:bCs/>
          <w:i w:val="0"/>
          <w:iCs w:val="0"/>
          <w:color w:val="auto"/>
          <w:sz w:val="24"/>
          <w:szCs w:val="24"/>
        </w:rPr>
        <w:t>Zarządzenie Nr 79/2026</w:t>
      </w:r>
    </w:p>
    <w:p w14:paraId="07D92193" w14:textId="77777777" w:rsidR="00E252D8" w:rsidRPr="00E252D8" w:rsidRDefault="00E252D8" w:rsidP="00E252D8">
      <w:pPr>
        <w:pStyle w:val="Nagwek6"/>
        <w:spacing w:before="0" w:line="360" w:lineRule="auto"/>
        <w:jc w:val="center"/>
        <w:rPr>
          <w:rFonts w:ascii="Calibri" w:hAnsi="Calibri" w:cs="Calibri"/>
          <w:b/>
          <w:bCs/>
          <w:i w:val="0"/>
          <w:iCs w:val="0"/>
          <w:color w:val="auto"/>
          <w:sz w:val="24"/>
          <w:szCs w:val="24"/>
        </w:rPr>
      </w:pPr>
      <w:r w:rsidRPr="00E252D8">
        <w:rPr>
          <w:rFonts w:ascii="Calibri" w:hAnsi="Calibri" w:cs="Calibri"/>
          <w:b/>
          <w:bCs/>
          <w:i w:val="0"/>
          <w:iCs w:val="0"/>
          <w:color w:val="auto"/>
          <w:sz w:val="24"/>
          <w:szCs w:val="24"/>
        </w:rPr>
        <w:t>Wójta Gminy Jednorożec</w:t>
      </w:r>
    </w:p>
    <w:p w14:paraId="2FE9A765" w14:textId="77777777" w:rsidR="00E252D8" w:rsidRPr="00E252D8" w:rsidRDefault="00E252D8" w:rsidP="00E252D8">
      <w:pPr>
        <w:pStyle w:val="western"/>
        <w:spacing w:before="0" w:beforeAutospacing="0" w:line="360" w:lineRule="auto"/>
        <w:jc w:val="center"/>
        <w:rPr>
          <w:rFonts w:ascii="Calibri" w:hAnsi="Calibri" w:cs="Calibri"/>
          <w:b/>
          <w:bCs/>
          <w:sz w:val="24"/>
          <w:szCs w:val="24"/>
        </w:rPr>
      </w:pPr>
      <w:r w:rsidRPr="00E252D8">
        <w:rPr>
          <w:rFonts w:ascii="Calibri" w:hAnsi="Calibri" w:cs="Calibri"/>
          <w:b/>
          <w:bCs/>
          <w:sz w:val="24"/>
          <w:szCs w:val="24"/>
        </w:rPr>
        <w:t>z dnia 16 września 2026 roku</w:t>
      </w:r>
    </w:p>
    <w:p w14:paraId="31C7A0DD" w14:textId="77777777" w:rsidR="00E252D8" w:rsidRDefault="00E252D8" w:rsidP="00E252D8">
      <w:pPr>
        <w:pStyle w:val="western"/>
        <w:spacing w:line="360" w:lineRule="auto"/>
        <w:jc w:val="both"/>
        <w:rPr>
          <w:rFonts w:ascii="Calibri" w:hAnsi="Calibri" w:cs="Calibri"/>
          <w:i/>
          <w:sz w:val="24"/>
          <w:szCs w:val="24"/>
        </w:rPr>
      </w:pPr>
      <w:r>
        <w:rPr>
          <w:rFonts w:ascii="Calibri" w:hAnsi="Calibri" w:cs="Calibri"/>
          <w:b/>
          <w:bCs/>
          <w:i/>
          <w:sz w:val="24"/>
          <w:szCs w:val="24"/>
        </w:rPr>
        <w:t>w sprawie zmiany Zarządzenia Nr 44/2012 Wójta Gminy Jednorożec z dnia 5 czerwca 2012 roku w sprawie ustalenia dokumentacji określającej: zasady prowadzenia rachunkowości, zakładowy plan kont dla Urzędu Gminy w Jednorożcu, plan kont dla budżetu Gminy Jednorożec, zasady rachunkowości i plan kont dla prowadzenia ewidencji podatków                        i opłat, sposób prowadzenia ksiąg rachunkowych i ochrony danych i ich zbiorów, w tym dowodów księgowych, ksiąg rachunkowych i innych dokumentów stanowiących podstawę dokonanych w nich zapisach oraz zasady sporządzania, obiegu i kontroli dokumentów, instrukcję inwentaryzacji, a także instrukcję gospodarki kasowej w Urzędzie Gminy                         w Jednorożcu</w:t>
      </w:r>
    </w:p>
    <w:p w14:paraId="52730996" w14:textId="77777777" w:rsidR="00E252D8" w:rsidRDefault="00E252D8" w:rsidP="00E252D8">
      <w:pPr>
        <w:pStyle w:val="western"/>
        <w:spacing w:before="0" w:beforeAutospacing="0" w:line="360" w:lineRule="auto"/>
        <w:ind w:firstLine="709"/>
        <w:jc w:val="both"/>
        <w:rPr>
          <w:rFonts w:ascii="Calibri" w:hAnsi="Calibri" w:cs="Calibri"/>
          <w:color w:val="FF0000"/>
          <w:sz w:val="24"/>
          <w:szCs w:val="24"/>
        </w:rPr>
      </w:pPr>
    </w:p>
    <w:p w14:paraId="2243AE63" w14:textId="0D76295F" w:rsidR="00E252D8" w:rsidRDefault="00E252D8" w:rsidP="00E252D8">
      <w:pPr>
        <w:pStyle w:val="western"/>
        <w:spacing w:before="0" w:beforeAutospacing="0" w:line="360" w:lineRule="auto"/>
        <w:ind w:firstLine="709"/>
        <w:jc w:val="both"/>
        <w:rPr>
          <w:rFonts w:ascii="Calibri" w:hAnsi="Calibri" w:cs="Calibri"/>
          <w:b/>
          <w:bCs/>
          <w:color w:val="FF0000"/>
          <w:sz w:val="24"/>
          <w:szCs w:val="24"/>
        </w:rPr>
      </w:pPr>
      <w:r>
        <w:rPr>
          <w:rFonts w:ascii="Calibri" w:hAnsi="Calibri" w:cs="Calibri"/>
          <w:sz w:val="24"/>
          <w:szCs w:val="24"/>
        </w:rPr>
        <w:t>Na podstawie art. 10 ustawy z dnia 29 września 1994 roku o rachunkowości                               (</w:t>
      </w:r>
      <w:proofErr w:type="spellStart"/>
      <w:r>
        <w:rPr>
          <w:rFonts w:ascii="Calibri" w:hAnsi="Calibri" w:cs="Calibri"/>
          <w:sz w:val="24"/>
          <w:szCs w:val="24"/>
        </w:rPr>
        <w:t>t.j</w:t>
      </w:r>
      <w:proofErr w:type="spellEnd"/>
      <w:r>
        <w:rPr>
          <w:rFonts w:ascii="Calibri" w:hAnsi="Calibri" w:cs="Calibri"/>
          <w:sz w:val="24"/>
          <w:szCs w:val="24"/>
        </w:rPr>
        <w:t xml:space="preserve">. Dz. U. 2026 poz. 522 z </w:t>
      </w:r>
      <w:proofErr w:type="spellStart"/>
      <w:r>
        <w:rPr>
          <w:rFonts w:ascii="Calibri" w:hAnsi="Calibri" w:cs="Calibri"/>
          <w:sz w:val="24"/>
          <w:szCs w:val="24"/>
        </w:rPr>
        <w:t>późn</w:t>
      </w:r>
      <w:proofErr w:type="spellEnd"/>
      <w:r>
        <w:rPr>
          <w:rFonts w:ascii="Calibri" w:hAnsi="Calibri" w:cs="Calibri"/>
          <w:sz w:val="24"/>
          <w:szCs w:val="24"/>
        </w:rPr>
        <w:t>. zm.),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proofErr w:type="spellStart"/>
      <w:r>
        <w:rPr>
          <w:rFonts w:ascii="Calibri" w:hAnsi="Calibri" w:cs="Calibri"/>
          <w:sz w:val="24"/>
          <w:szCs w:val="24"/>
        </w:rPr>
        <w:t>t.j</w:t>
      </w:r>
      <w:proofErr w:type="spellEnd"/>
      <w:r>
        <w:rPr>
          <w:rFonts w:ascii="Calibri" w:hAnsi="Calibri" w:cs="Calibri"/>
          <w:sz w:val="24"/>
          <w:szCs w:val="24"/>
        </w:rPr>
        <w:t>. Dz. U. 2026 poz. 909), rozporządzenia Ministra Rozwoju i Finansów  z dnia 29 stycznia 2025 roku                                           w sprawie sprawozdawczości budżetowej (</w:t>
      </w:r>
      <w:proofErr w:type="spellStart"/>
      <w:r>
        <w:rPr>
          <w:rFonts w:ascii="Calibri" w:hAnsi="Calibri" w:cs="Calibri"/>
          <w:sz w:val="24"/>
          <w:szCs w:val="24"/>
        </w:rPr>
        <w:t>t.j</w:t>
      </w:r>
      <w:proofErr w:type="spellEnd"/>
      <w:r>
        <w:rPr>
          <w:rFonts w:ascii="Calibri" w:hAnsi="Calibri" w:cs="Calibri"/>
          <w:sz w:val="24"/>
          <w:szCs w:val="24"/>
        </w:rPr>
        <w:t xml:space="preserve">. Dz. U. z 2025, poz. 133 z </w:t>
      </w:r>
      <w:proofErr w:type="spellStart"/>
      <w:r>
        <w:rPr>
          <w:rFonts w:ascii="Calibri" w:hAnsi="Calibri" w:cs="Calibri"/>
          <w:sz w:val="24"/>
          <w:szCs w:val="24"/>
        </w:rPr>
        <w:t>późn</w:t>
      </w:r>
      <w:proofErr w:type="spellEnd"/>
      <w:r>
        <w:rPr>
          <w:rFonts w:ascii="Calibri" w:hAnsi="Calibri" w:cs="Calibri"/>
          <w:sz w:val="24"/>
          <w:szCs w:val="24"/>
        </w:rPr>
        <w:t>. zm.),                           art.40 ustawy z dnia 27 sierpnia 2009 r. o finansach publicznych (</w:t>
      </w:r>
      <w:proofErr w:type="spellStart"/>
      <w:r>
        <w:rPr>
          <w:rFonts w:ascii="Calibri" w:hAnsi="Calibri" w:cs="Calibri"/>
          <w:sz w:val="24"/>
          <w:szCs w:val="24"/>
        </w:rPr>
        <w:t>t.j</w:t>
      </w:r>
      <w:proofErr w:type="spellEnd"/>
      <w:r>
        <w:rPr>
          <w:rFonts w:ascii="Calibri" w:hAnsi="Calibri" w:cs="Calibri"/>
          <w:sz w:val="24"/>
          <w:szCs w:val="24"/>
        </w:rPr>
        <w:t xml:space="preserve">. Dz.U. 2025 r., poz. 1483  z </w:t>
      </w:r>
      <w:proofErr w:type="spellStart"/>
      <w:r>
        <w:rPr>
          <w:rFonts w:ascii="Calibri" w:hAnsi="Calibri" w:cs="Calibri"/>
          <w:sz w:val="24"/>
          <w:szCs w:val="24"/>
        </w:rPr>
        <w:t>późn</w:t>
      </w:r>
      <w:proofErr w:type="spellEnd"/>
      <w:r>
        <w:rPr>
          <w:rFonts w:ascii="Calibri" w:hAnsi="Calibri" w:cs="Calibri"/>
          <w:sz w:val="24"/>
          <w:szCs w:val="24"/>
        </w:rPr>
        <w:t>. zm.) oraz  rozporządzenia Ministra Finansów i Gospodarki z dnia 20 kwietnia 2026 roku w sprawie szczegółowej klasyfikacji dochodów, wydatków, przychodów i rozchodów oraz środków pochodzących ze źródeł zagranicznych (</w:t>
      </w:r>
      <w:proofErr w:type="spellStart"/>
      <w:r>
        <w:rPr>
          <w:rFonts w:ascii="Calibri" w:hAnsi="Calibri" w:cs="Calibri"/>
          <w:sz w:val="24"/>
          <w:szCs w:val="24"/>
        </w:rPr>
        <w:t>t.j</w:t>
      </w:r>
      <w:proofErr w:type="spellEnd"/>
      <w:r>
        <w:rPr>
          <w:rFonts w:ascii="Calibri" w:hAnsi="Calibri" w:cs="Calibri"/>
          <w:sz w:val="24"/>
          <w:szCs w:val="24"/>
        </w:rPr>
        <w:t xml:space="preserve">. Dz. U. 2026 r., poz. 582) – </w:t>
      </w:r>
      <w:r>
        <w:rPr>
          <w:rFonts w:ascii="Calibri" w:hAnsi="Calibri" w:cs="Calibri"/>
          <w:b/>
          <w:bCs/>
          <w:sz w:val="24"/>
          <w:szCs w:val="24"/>
        </w:rPr>
        <w:t>zarządza się,  co następuje:</w:t>
      </w:r>
    </w:p>
    <w:p w14:paraId="1985DF36" w14:textId="77777777" w:rsidR="00E252D8" w:rsidRDefault="00E252D8" w:rsidP="00E252D8">
      <w:pPr>
        <w:pStyle w:val="western"/>
        <w:spacing w:before="0" w:beforeAutospacing="0" w:line="360" w:lineRule="auto"/>
        <w:jc w:val="both"/>
        <w:rPr>
          <w:rFonts w:ascii="Calibri" w:hAnsi="Calibri" w:cs="Calibri"/>
          <w:bCs/>
          <w:sz w:val="24"/>
          <w:szCs w:val="24"/>
        </w:rPr>
      </w:pPr>
    </w:p>
    <w:p w14:paraId="3FD0ECE4"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xml:space="preserve">§ 1. W zarządzeniu nr 44/2012 Wójta Gminy Jednorożec z dnia 5 czerwca 2012 roku z </w:t>
      </w:r>
      <w:proofErr w:type="spellStart"/>
      <w:r>
        <w:rPr>
          <w:rFonts w:ascii="Calibri" w:hAnsi="Calibri" w:cs="Calibri"/>
          <w:bCs/>
          <w:sz w:val="24"/>
          <w:szCs w:val="24"/>
        </w:rPr>
        <w:t>późn</w:t>
      </w:r>
      <w:proofErr w:type="spellEnd"/>
      <w:r>
        <w:rPr>
          <w:rFonts w:ascii="Calibri" w:hAnsi="Calibri" w:cs="Calibri"/>
          <w:bCs/>
          <w:sz w:val="24"/>
          <w:szCs w:val="24"/>
        </w:rPr>
        <w:t>. zm. wprowadza się następujące zmiany:</w:t>
      </w:r>
    </w:p>
    <w:p w14:paraId="4D1CAB3D"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1. w </w:t>
      </w:r>
      <w:r>
        <w:rPr>
          <w:rFonts w:ascii="Calibri" w:hAnsi="Calibri" w:cs="Calibri"/>
          <w:b/>
          <w:bCs/>
          <w:sz w:val="24"/>
          <w:szCs w:val="24"/>
        </w:rPr>
        <w:t>załączniku Nr 1</w:t>
      </w:r>
      <w:r>
        <w:rPr>
          <w:rFonts w:ascii="Calibri" w:hAnsi="Calibri" w:cs="Calibri"/>
          <w:sz w:val="24"/>
          <w:szCs w:val="24"/>
        </w:rPr>
        <w:t xml:space="preserve"> pn.</w:t>
      </w:r>
      <w:r>
        <w:rPr>
          <w:rFonts w:ascii="Calibri" w:hAnsi="Calibri" w:cs="Calibri"/>
          <w:b/>
          <w:bCs/>
          <w:sz w:val="24"/>
          <w:szCs w:val="24"/>
        </w:rPr>
        <w:t xml:space="preserve"> </w:t>
      </w:r>
      <w:r>
        <w:rPr>
          <w:rFonts w:ascii="Calibri" w:hAnsi="Calibri" w:cs="Calibri"/>
          <w:sz w:val="24"/>
          <w:szCs w:val="24"/>
        </w:rPr>
        <w:t>Zasady prowadzenia rachunkowości w Urzędzie Gminy                                       w Jednorożcu w wprowadza się zmiany:</w:t>
      </w:r>
    </w:p>
    <w:p w14:paraId="5FE216C7"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lastRenderedPageBreak/>
        <w:t>1) § 1 ust. 11 otrzymuje brzmienie:</w:t>
      </w:r>
    </w:p>
    <w:p w14:paraId="7F90C567"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„Środki trwałe oraz wartości niematerialne i prawne o wartości od 2.000,00 zł do 10.000,00 zł umarzane są jednorazowo w miesiącu przyjęcia do używania.”</w:t>
      </w:r>
    </w:p>
    <w:p w14:paraId="6FF1FCF2"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2) § 1 ust. 12 otrzymuje brzmienie:</w:t>
      </w:r>
    </w:p>
    <w:p w14:paraId="3181CBEC" w14:textId="091DE94C"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„Środki trwałe oraz wartości niematerialne i prawne o wartości powyżej 10.000,00 zł umarza się i amortyzuje za okres całego roku w grudniu każdego roku, przy zastosowaniu stawek zawartych w przepisach dotyczących podatku dochodowego od osób prawnych wg metody liniowej”.</w:t>
      </w:r>
    </w:p>
    <w:p w14:paraId="5B78E7E3"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3) § 4 otrzymuje brzmienie:</w:t>
      </w:r>
    </w:p>
    <w:p w14:paraId="4864D06C"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„Poszczególne składniki aktywów i pasywów wycenia się stosując rzeczywiście poniesione na ich nabycie lub wytworzenie ceny nabycia lub koszty wytworzenia, z zachowaniem zasady ostrożności.</w:t>
      </w:r>
    </w:p>
    <w:p w14:paraId="5E9C9AB8" w14:textId="77777777" w:rsidR="00E252D8" w:rsidRPr="00E252D8" w:rsidRDefault="00E252D8" w:rsidP="00E252D8">
      <w:pPr>
        <w:pStyle w:val="Nagwek1"/>
        <w:spacing w:before="0" w:after="0" w:line="360" w:lineRule="auto"/>
        <w:jc w:val="both"/>
        <w:rPr>
          <w:rFonts w:ascii="Calibri" w:hAnsi="Calibri" w:cs="Calibri"/>
          <w:b/>
          <w:bCs/>
          <w:color w:val="auto"/>
          <w:sz w:val="24"/>
          <w:szCs w:val="24"/>
        </w:rPr>
      </w:pPr>
      <w:r w:rsidRPr="00E252D8">
        <w:rPr>
          <w:rFonts w:ascii="Calibri" w:hAnsi="Calibri" w:cs="Calibri"/>
          <w:b/>
          <w:bCs/>
          <w:color w:val="auto"/>
          <w:sz w:val="24"/>
          <w:szCs w:val="24"/>
        </w:rPr>
        <w:t>Do majątku trwałego gminy zalicza się:</w:t>
      </w:r>
    </w:p>
    <w:p w14:paraId="38E87CBB" w14:textId="13E9938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rPr>
        <w:t>Rzeczowe aktywa trwałe w tym;</w:t>
      </w:r>
    </w:p>
    <w:p w14:paraId="4A05DD63" w14:textId="77777777" w:rsidR="00E252D8" w:rsidRDefault="00E252D8" w:rsidP="00E252D8">
      <w:pPr>
        <w:pStyle w:val="NormalnyWeb"/>
        <w:numPr>
          <w:ilvl w:val="0"/>
          <w:numId w:val="1"/>
        </w:numPr>
        <w:spacing w:before="0" w:beforeAutospacing="0" w:line="360" w:lineRule="auto"/>
        <w:jc w:val="both"/>
        <w:rPr>
          <w:rFonts w:ascii="Calibri" w:hAnsi="Calibri" w:cs="Calibri"/>
        </w:rPr>
      </w:pPr>
      <w:r>
        <w:rPr>
          <w:rFonts w:ascii="Calibri" w:hAnsi="Calibri" w:cs="Calibri"/>
        </w:rPr>
        <w:t>środki trwałe:</w:t>
      </w:r>
    </w:p>
    <w:p w14:paraId="5E0AF56E" w14:textId="135A55D9" w:rsidR="00E252D8" w:rsidRDefault="00E252D8" w:rsidP="00E252D8">
      <w:pPr>
        <w:pStyle w:val="NormalnyWeb"/>
        <w:spacing w:before="0" w:beforeAutospacing="0" w:line="360" w:lineRule="auto"/>
        <w:ind w:left="360"/>
        <w:jc w:val="both"/>
        <w:rPr>
          <w:rFonts w:ascii="Calibri" w:hAnsi="Calibri" w:cs="Calibri"/>
        </w:rPr>
      </w:pPr>
      <w:r>
        <w:rPr>
          <w:rFonts w:ascii="Calibri" w:hAnsi="Calibri" w:cs="Calibri"/>
        </w:rPr>
        <w:t xml:space="preserve">-  o wartości początkowej powyżej 10.000,00 zł, </w:t>
      </w:r>
    </w:p>
    <w:p w14:paraId="65766E53" w14:textId="12FFD4FD" w:rsidR="00E252D8" w:rsidRDefault="00E252D8" w:rsidP="00E252D8">
      <w:pPr>
        <w:pStyle w:val="NormalnyWeb"/>
        <w:spacing w:before="0" w:beforeAutospacing="0" w:line="360" w:lineRule="auto"/>
        <w:ind w:left="360"/>
        <w:jc w:val="both"/>
        <w:rPr>
          <w:rFonts w:ascii="Calibri" w:hAnsi="Calibri" w:cs="Calibri"/>
        </w:rPr>
      </w:pPr>
      <w:r>
        <w:rPr>
          <w:rFonts w:ascii="Calibri" w:hAnsi="Calibri" w:cs="Calibri"/>
        </w:rPr>
        <w:t>- o wartości niższej niż 10.000,00 zł</w:t>
      </w:r>
      <w:r w:rsidR="00C32296">
        <w:rPr>
          <w:rFonts w:ascii="Calibri" w:hAnsi="Calibri" w:cs="Calibri"/>
        </w:rPr>
        <w:t xml:space="preserve"> </w:t>
      </w:r>
      <w:r>
        <w:rPr>
          <w:rFonts w:ascii="Calibri" w:hAnsi="Calibri" w:cs="Calibri"/>
        </w:rPr>
        <w:t>jeżeli okres użytkowania jest dłuższy niż rok</w:t>
      </w:r>
      <w:r w:rsidR="00C32296">
        <w:rPr>
          <w:rFonts w:ascii="Calibri" w:hAnsi="Calibri" w:cs="Calibri"/>
        </w:rPr>
        <w:t xml:space="preserve">                                      </w:t>
      </w:r>
      <w:r>
        <w:rPr>
          <w:rFonts w:ascii="Calibri" w:hAnsi="Calibri" w:cs="Calibri"/>
        </w:rPr>
        <w:t>i</w:t>
      </w:r>
      <w:r w:rsidR="00C32296">
        <w:rPr>
          <w:rFonts w:ascii="Calibri" w:hAnsi="Calibri" w:cs="Calibri"/>
        </w:rPr>
        <w:t xml:space="preserve"> </w:t>
      </w:r>
      <w:r>
        <w:rPr>
          <w:rFonts w:ascii="Calibri" w:hAnsi="Calibri" w:cs="Calibri"/>
        </w:rPr>
        <w:t>sfinansowane są ze środków na inwestycje,</w:t>
      </w:r>
    </w:p>
    <w:p w14:paraId="0B735F8A" w14:textId="74D53427" w:rsidR="00E252D8" w:rsidRDefault="00E252D8" w:rsidP="00E252D8">
      <w:pPr>
        <w:pStyle w:val="NormalnyWeb"/>
        <w:numPr>
          <w:ilvl w:val="0"/>
          <w:numId w:val="1"/>
        </w:numPr>
        <w:spacing w:before="0" w:beforeAutospacing="0" w:line="360" w:lineRule="auto"/>
        <w:jc w:val="both"/>
        <w:rPr>
          <w:rFonts w:ascii="Calibri" w:hAnsi="Calibri" w:cs="Calibri"/>
        </w:rPr>
      </w:pPr>
      <w:r>
        <w:rPr>
          <w:rFonts w:ascii="Calibri" w:hAnsi="Calibri" w:cs="Calibri"/>
        </w:rPr>
        <w:t>pozostałe środki trwałe o wartości od 2.000,00 zł do 10.000,00</w:t>
      </w:r>
      <w:r w:rsidR="00C32296">
        <w:rPr>
          <w:rFonts w:ascii="Calibri" w:hAnsi="Calibri" w:cs="Calibri"/>
        </w:rPr>
        <w:t xml:space="preserve"> zł</w:t>
      </w:r>
      <w:r>
        <w:rPr>
          <w:rFonts w:ascii="Calibri" w:hAnsi="Calibri" w:cs="Calibri"/>
        </w:rPr>
        <w:t>,</w:t>
      </w:r>
    </w:p>
    <w:p w14:paraId="6424EE7F" w14:textId="77777777" w:rsidR="00E252D8" w:rsidRDefault="00E252D8" w:rsidP="00E252D8">
      <w:pPr>
        <w:pStyle w:val="NormalnyWeb"/>
        <w:numPr>
          <w:ilvl w:val="0"/>
          <w:numId w:val="1"/>
        </w:numPr>
        <w:spacing w:before="0" w:beforeAutospacing="0" w:line="360" w:lineRule="auto"/>
        <w:jc w:val="both"/>
        <w:rPr>
          <w:rFonts w:ascii="Calibri" w:hAnsi="Calibri" w:cs="Calibri"/>
        </w:rPr>
      </w:pPr>
      <w:r>
        <w:rPr>
          <w:rFonts w:ascii="Calibri" w:hAnsi="Calibri" w:cs="Calibri"/>
        </w:rPr>
        <w:t>środki trwałe w budowie (inwestycje).</w:t>
      </w:r>
    </w:p>
    <w:p w14:paraId="77DE7545"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 xml:space="preserve">Środki trwałe obejmują: </w:t>
      </w:r>
    </w:p>
    <w:p w14:paraId="2C45D0ED"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 xml:space="preserve">grunty, </w:t>
      </w:r>
    </w:p>
    <w:p w14:paraId="0D6CED7E"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 xml:space="preserve">budynki, lokale i obiekty inżynierii lądowej i wodnej, </w:t>
      </w:r>
    </w:p>
    <w:p w14:paraId="26DFA2A3"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urządzenia techniczne i maszyny,</w:t>
      </w:r>
    </w:p>
    <w:p w14:paraId="6C6F12F7"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środki transportu,</w:t>
      </w:r>
    </w:p>
    <w:p w14:paraId="7C378011" w14:textId="77777777" w:rsidR="00E252D8" w:rsidRDefault="00E252D8" w:rsidP="00E252D8">
      <w:pPr>
        <w:pStyle w:val="NormalnyWeb"/>
        <w:numPr>
          <w:ilvl w:val="0"/>
          <w:numId w:val="2"/>
        </w:numPr>
        <w:spacing w:before="0" w:beforeAutospacing="0" w:line="360" w:lineRule="auto"/>
        <w:jc w:val="both"/>
        <w:rPr>
          <w:rFonts w:ascii="Calibri" w:hAnsi="Calibri" w:cs="Calibri"/>
        </w:rPr>
      </w:pPr>
      <w:r>
        <w:rPr>
          <w:rFonts w:ascii="Calibri" w:hAnsi="Calibri" w:cs="Calibri"/>
        </w:rPr>
        <w:t>narzędzia, przyrządy, ruchomości i wyposażenie.</w:t>
      </w:r>
    </w:p>
    <w:p w14:paraId="78391391"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Środki trwałe w dniu przyjęcia do użytkowania wycenia się:</w:t>
      </w:r>
    </w:p>
    <w:p w14:paraId="40B0AA92" w14:textId="7B1101B6"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według ceny zakupu w przypadku nabycia gotowego środka trwałego (np. zestaw komputerowy),</w:t>
      </w:r>
    </w:p>
    <w:p w14:paraId="548C777B"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według kosztu wytworzenia np. nowo wybudowany obiekt, przyjmując koszt w cenie brutto lub netto jeśli przysługuje jednostce możliwość odliczenia podatku VAT,</w:t>
      </w:r>
    </w:p>
    <w:p w14:paraId="2BD09EB9"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lastRenderedPageBreak/>
        <w:t>w przypadku otrzymania środka nieodpłatnie wg ceny określonej w decyzji / umowie o przekazaniu,</w:t>
      </w:r>
    </w:p>
    <w:p w14:paraId="7D65EE67"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 xml:space="preserve">niedobory / nadwyżki ujawnione w trakcie inwentaryzacji odpowiednio według posiadanych dokumentów, z uwzględnieniem zużycia lub według wartości godziwej, </w:t>
      </w:r>
    </w:p>
    <w:p w14:paraId="4A77E565" w14:textId="77777777" w:rsidR="00E252D8" w:rsidRDefault="00E252D8" w:rsidP="00E252D8">
      <w:pPr>
        <w:pStyle w:val="NormalnyWeb"/>
        <w:spacing w:before="0" w:beforeAutospacing="0" w:line="360" w:lineRule="auto"/>
        <w:jc w:val="both"/>
        <w:rPr>
          <w:rFonts w:ascii="Calibri" w:hAnsi="Calibri" w:cs="Calibri"/>
        </w:rPr>
      </w:pPr>
    </w:p>
    <w:p w14:paraId="74A836D2"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Na koncie środków trwałych ewidencjonuje się wszystkie środki trwałe o wartości powyżej 10.000,00 zł lub o wartości niższej niż 10.000,00 zł jeżeli okres użytkowania jest dłuższy niż rok i sfinansowane są ze środków na inwestycje. Zwiększenie wartości początkowej może nastąpić o równowartość kosztów inwestycji związanych z ich ulepszeniem pod datą przyjęcia ich do używania z inwestycji, datą zakupu lub datą decyzji.</w:t>
      </w:r>
    </w:p>
    <w:p w14:paraId="744BFC0A"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Umarzane są na podstawie aktualnego planu amortyzacji według stawek amortyzacyjnych ustalonych w ustawie o podatku dochodowym od osób prawnych. Odpisów umorzeniowych dokonuje się począwszy od następnego miesiąca po miesiącu przyjęcia środka trwałego. Amortyzacja dokonywana jest na koniec roku budżetowego metodą liniową dla wszystkich środków trwałych.</w:t>
      </w:r>
    </w:p>
    <w:p w14:paraId="2210FF40" w14:textId="5EBCC36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Ewidencja środków trwałych prowadzona jest na koncie 011 „Środki trwałe</w:t>
      </w:r>
      <w:r>
        <w:rPr>
          <w:rFonts w:ascii="Calibri" w:hAnsi="Calibri" w:cs="Calibri"/>
          <w:b/>
          <w:bCs/>
          <w:sz w:val="24"/>
          <w:szCs w:val="24"/>
        </w:rPr>
        <w:t>”,</w:t>
      </w:r>
      <w:r>
        <w:rPr>
          <w:rFonts w:ascii="Calibri" w:hAnsi="Calibri" w:cs="Calibri"/>
          <w:sz w:val="24"/>
          <w:szCs w:val="24"/>
        </w:rPr>
        <w:t xml:space="preserve">                     zaś amortyzacja na koncie 071 „Umorzenie środków trwałych oraz wartości niematerialnych  </w:t>
      </w:r>
      <w:r w:rsidR="00C32296">
        <w:rPr>
          <w:rFonts w:ascii="Calibri" w:hAnsi="Calibri" w:cs="Calibri"/>
          <w:sz w:val="24"/>
          <w:szCs w:val="24"/>
        </w:rPr>
        <w:t xml:space="preserve"> </w:t>
      </w:r>
      <w:r>
        <w:rPr>
          <w:rFonts w:ascii="Calibri" w:hAnsi="Calibri" w:cs="Calibri"/>
          <w:sz w:val="24"/>
          <w:szCs w:val="24"/>
        </w:rPr>
        <w:t>i prawnych”.</w:t>
      </w:r>
      <w:r>
        <w:rPr>
          <w:rFonts w:ascii="Calibri" w:hAnsi="Calibri" w:cs="Calibri"/>
          <w:b/>
          <w:bCs/>
          <w:sz w:val="24"/>
          <w:szCs w:val="24"/>
        </w:rPr>
        <w:t xml:space="preserve"> </w:t>
      </w:r>
    </w:p>
    <w:p w14:paraId="011CF838" w14:textId="567B9981" w:rsidR="00E252D8" w:rsidRDefault="00E252D8" w:rsidP="00E252D8">
      <w:pPr>
        <w:pStyle w:val="NormalnyWeb"/>
        <w:tabs>
          <w:tab w:val="num" w:pos="720"/>
        </w:tabs>
        <w:spacing w:before="0" w:beforeAutospacing="0" w:line="360" w:lineRule="auto"/>
        <w:jc w:val="both"/>
        <w:rPr>
          <w:rFonts w:ascii="Calibri" w:hAnsi="Calibri" w:cs="Calibri"/>
        </w:rPr>
      </w:pPr>
      <w:r>
        <w:rPr>
          <w:rFonts w:ascii="Calibri" w:hAnsi="Calibri" w:cs="Calibri"/>
        </w:rPr>
        <w:tab/>
        <w:t>Dokumentami przyjęcia jest dowód przyjęcia środka trwałego „OT” wraz</w:t>
      </w:r>
      <w:r w:rsidR="00C32296">
        <w:rPr>
          <w:rFonts w:ascii="Calibri" w:hAnsi="Calibri" w:cs="Calibri"/>
        </w:rPr>
        <w:t xml:space="preserve"> </w:t>
      </w:r>
      <w:r>
        <w:rPr>
          <w:rFonts w:ascii="Calibri" w:hAnsi="Calibri" w:cs="Calibri"/>
        </w:rPr>
        <w:t xml:space="preserve">                                z załącznikami (np. faktura zakupu, protokół końcowego rozliczenia inwestycji) lub protokół zdawczo odbiorczy środka trwałego „PT”, natomiast dokumentami likwidacji jest dowód likwidacja środka trwałego „LT”.</w:t>
      </w:r>
    </w:p>
    <w:p w14:paraId="4F6B3823" w14:textId="77777777" w:rsidR="00E252D8" w:rsidRDefault="00E252D8" w:rsidP="00E252D8">
      <w:pPr>
        <w:pStyle w:val="NormalnyWeb"/>
        <w:spacing w:before="0" w:beforeAutospacing="0" w:line="360" w:lineRule="auto"/>
        <w:ind w:left="360"/>
        <w:jc w:val="both"/>
        <w:rPr>
          <w:rFonts w:ascii="Calibri" w:hAnsi="Calibri" w:cs="Calibri"/>
        </w:rPr>
      </w:pPr>
    </w:p>
    <w:p w14:paraId="5F556E9B"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 xml:space="preserve">Pozostałe środki trwałe </w:t>
      </w:r>
    </w:p>
    <w:p w14:paraId="6B811815" w14:textId="77777777" w:rsidR="00E252D8" w:rsidRDefault="00E252D8" w:rsidP="00E252D8">
      <w:pPr>
        <w:pStyle w:val="NormalnyWeb"/>
        <w:spacing w:before="0" w:beforeAutospacing="0" w:line="360" w:lineRule="auto"/>
        <w:ind w:firstLine="709"/>
        <w:jc w:val="both"/>
        <w:rPr>
          <w:rFonts w:ascii="Calibri" w:hAnsi="Calibri" w:cs="Calibri"/>
        </w:rPr>
      </w:pPr>
      <w:r>
        <w:rPr>
          <w:rFonts w:ascii="Calibri" w:hAnsi="Calibri" w:cs="Calibri"/>
          <w:iCs/>
        </w:rPr>
        <w:t>Pozostałe środki trwałe o wartości początkowej od 2.000,00 zł do 10.000,00 zł amortyzowane są jednorazowo w momencie oddania do używania.</w:t>
      </w:r>
    </w:p>
    <w:p w14:paraId="5285CD6C"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Pozostałe środki trwałe o wartości od 2.000,00 zł do 10.000,00 zł ujmuje się                         w ewidencji ilościowo- wartościowej na koncie 013 „Pozostałe środki trwałe” i umarza się je w 100 % w miesiącu przyjęcia do używania, natomiast o wartości poniżej 2.000,00 zł spisuje się bezpośrednio w koszty. </w:t>
      </w:r>
    </w:p>
    <w:p w14:paraId="7226825F"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Umorzenie ujmowane jest na koncie 072 „Umorzenie pozostałych środków trwałych, wartości niematerialnych i prawnych oraz zbiorów bibliotecznych”. </w:t>
      </w:r>
    </w:p>
    <w:p w14:paraId="4A64640E" w14:textId="1733491A"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lastRenderedPageBreak/>
        <w:t xml:space="preserve">Kierownik jednostki obowiązany jest ustalić osoby materialnie odpowiedzialne </w:t>
      </w:r>
      <w:r w:rsidR="00C32296">
        <w:rPr>
          <w:rFonts w:ascii="Calibri" w:hAnsi="Calibri" w:cs="Calibri"/>
          <w:sz w:val="24"/>
          <w:szCs w:val="24"/>
        </w:rPr>
        <w:t xml:space="preserve">                        </w:t>
      </w:r>
      <w:r>
        <w:rPr>
          <w:rFonts w:ascii="Calibri" w:hAnsi="Calibri" w:cs="Calibri"/>
          <w:sz w:val="24"/>
          <w:szCs w:val="24"/>
        </w:rPr>
        <w:t xml:space="preserve">za gospodarkę środkami trwałymi i wyposażeniem. Do obowiązków tych osób należy prawidłowe oznaczenie powierzonych im środków rzeczowych, przechowywanie, konserwacja i zabezpieczenie przed kradzieżą, zniszczeniem, uszkodzeniem. </w:t>
      </w:r>
    </w:p>
    <w:p w14:paraId="085F5C82" w14:textId="1C80C6E1"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Ponadto należy prawidłowo nadanym numerem inwentarzowym w sposób trwały i widoczny oznakować środki trwałe. Numer inwentarzowy powinien składać się z następujących członów: nazwa skrócona jednostki „UG”, symbol klasyfikacji środków trwałych np.</w:t>
      </w:r>
      <w:r w:rsidR="00C32296">
        <w:rPr>
          <w:rFonts w:ascii="Calibri" w:hAnsi="Calibri" w:cs="Calibri"/>
          <w:sz w:val="24"/>
          <w:szCs w:val="24"/>
        </w:rPr>
        <w:t xml:space="preserve"> </w:t>
      </w:r>
      <w:r>
        <w:rPr>
          <w:rFonts w:ascii="Calibri" w:hAnsi="Calibri" w:cs="Calibri"/>
          <w:sz w:val="24"/>
          <w:szCs w:val="24"/>
        </w:rPr>
        <w:t>49 i poz. w ewidencji inwentarzowej np. 1, 2, 3.</w:t>
      </w:r>
    </w:p>
    <w:p w14:paraId="4D6C9E86"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Ewidencja środków trwałych oraz amortyzacja prowadzona jest przy użyciu programu komputerowego „Środki trwałe” –SPUTNIK, która uzgadniana jest z saldem konta 011 „Środki trwałe” i z kontem 071.</w:t>
      </w:r>
    </w:p>
    <w:p w14:paraId="5B0A5677" w14:textId="57BC99CA"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Ewidencja pozostałych środków trwałych prowadzona jest ręcznie poprzez wpis </w:t>
      </w:r>
      <w:r w:rsidR="00C32296">
        <w:rPr>
          <w:rFonts w:ascii="Calibri" w:hAnsi="Calibri" w:cs="Calibri"/>
          <w:sz w:val="24"/>
          <w:szCs w:val="24"/>
        </w:rPr>
        <w:t xml:space="preserve">                    </w:t>
      </w:r>
      <w:r>
        <w:rPr>
          <w:rFonts w:ascii="Calibri" w:hAnsi="Calibri" w:cs="Calibri"/>
          <w:sz w:val="24"/>
          <w:szCs w:val="24"/>
        </w:rPr>
        <w:t>do ksiąg inwentarzowych, które są uzgadniane z saldem konta 013 „ Pozostałe środki trwałe”.</w:t>
      </w:r>
    </w:p>
    <w:p w14:paraId="36A400A0" w14:textId="77777777" w:rsidR="00E252D8" w:rsidRDefault="00E252D8" w:rsidP="00E252D8">
      <w:pPr>
        <w:pStyle w:val="NormalnyWeb"/>
        <w:spacing w:before="0" w:beforeAutospacing="0" w:line="360" w:lineRule="auto"/>
        <w:jc w:val="both"/>
        <w:rPr>
          <w:rFonts w:ascii="Calibri" w:hAnsi="Calibri" w:cs="Calibri"/>
        </w:rPr>
      </w:pPr>
    </w:p>
    <w:p w14:paraId="4CB8DB75"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Środki trwałe w budowie (inwestycje)</w:t>
      </w:r>
    </w:p>
    <w:p w14:paraId="6AC7EF78"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Są to koszty poniesione w trakcie budowy, modernizacji oraz nabycia lub wytworzenia podstawowych środków trwałych.</w:t>
      </w:r>
    </w:p>
    <w:p w14:paraId="133AB1E0"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Do kosztów inwestycji zalicza się m.in.</w:t>
      </w:r>
    </w:p>
    <w:p w14:paraId="4DC6ABC7"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dokumentacja projektowa,</w:t>
      </w:r>
    </w:p>
    <w:p w14:paraId="59B8BD1F"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nabycie gruntów (opłata notarialna) i innych składników związanych z budową,</w:t>
      </w:r>
    </w:p>
    <w:p w14:paraId="1F3C2136"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badania geodezyjne,</w:t>
      </w:r>
    </w:p>
    <w:p w14:paraId="60D2CB03"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przygotowanie terenu pod budowę,</w:t>
      </w:r>
    </w:p>
    <w:p w14:paraId="11C32D5A"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nadzór inwestorski i autorski,</w:t>
      </w:r>
    </w:p>
    <w:p w14:paraId="07AF8175"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inne koszty związane z budową mające wpływ na wartość środka trwałego.</w:t>
      </w:r>
    </w:p>
    <w:p w14:paraId="73061BF9" w14:textId="77777777" w:rsidR="00E252D8" w:rsidRDefault="00E252D8" w:rsidP="00E252D8">
      <w:pPr>
        <w:pStyle w:val="NormalnyWeb"/>
        <w:spacing w:before="0" w:beforeAutospacing="0" w:line="360" w:lineRule="auto"/>
        <w:ind w:firstLine="360"/>
        <w:jc w:val="both"/>
        <w:rPr>
          <w:rFonts w:ascii="Calibri" w:hAnsi="Calibri" w:cs="Calibri"/>
        </w:rPr>
      </w:pPr>
      <w:r>
        <w:rPr>
          <w:rFonts w:ascii="Calibri" w:hAnsi="Calibri" w:cs="Calibri"/>
        </w:rPr>
        <w:t xml:space="preserve">Ewidencja inwestycji prowadzona jest na koncie 080 </w:t>
      </w:r>
      <w:r>
        <w:rPr>
          <w:rFonts w:ascii="Calibri" w:hAnsi="Calibri" w:cs="Calibri"/>
          <w:iCs/>
        </w:rPr>
        <w:t>Środki trwałe w budowie (inwestycje).</w:t>
      </w:r>
    </w:p>
    <w:p w14:paraId="4C6C21AF" w14:textId="77777777" w:rsidR="00E252D8" w:rsidRDefault="00E252D8" w:rsidP="00E252D8">
      <w:pPr>
        <w:pStyle w:val="western"/>
        <w:spacing w:before="0" w:beforeAutospacing="0" w:line="360" w:lineRule="auto"/>
        <w:jc w:val="both"/>
        <w:rPr>
          <w:rFonts w:ascii="Calibri" w:hAnsi="Calibri" w:cs="Calibri"/>
          <w:sz w:val="24"/>
          <w:szCs w:val="24"/>
        </w:rPr>
      </w:pPr>
    </w:p>
    <w:p w14:paraId="6B5504B9"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i/>
          <w:iCs/>
          <w:u w:val="single"/>
        </w:rPr>
        <w:t>Wartości niematerialne i prawne obejmują:</w:t>
      </w:r>
    </w:p>
    <w:p w14:paraId="37A3185B"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licencje (np. oprogramowanie komputerowe),</w:t>
      </w:r>
    </w:p>
    <w:p w14:paraId="06EA2B50" w14:textId="77777777" w:rsidR="00E252D8" w:rsidRDefault="00E252D8" w:rsidP="00E252D8">
      <w:pPr>
        <w:pStyle w:val="NormalnyWeb"/>
        <w:numPr>
          <w:ilvl w:val="0"/>
          <w:numId w:val="3"/>
        </w:numPr>
        <w:spacing w:before="0" w:beforeAutospacing="0" w:line="360" w:lineRule="auto"/>
        <w:jc w:val="both"/>
        <w:rPr>
          <w:rFonts w:ascii="Calibri" w:hAnsi="Calibri" w:cs="Calibri"/>
        </w:rPr>
      </w:pPr>
      <w:r>
        <w:rPr>
          <w:rFonts w:ascii="Calibri" w:hAnsi="Calibri" w:cs="Calibri"/>
        </w:rPr>
        <w:t>autorskie prawa majątkowe.</w:t>
      </w:r>
    </w:p>
    <w:p w14:paraId="608C3DC7"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lastRenderedPageBreak/>
        <w:t>Wartości niematerialne i prawne ewidencjonowane są na koncie 020 „Wartości niematerialne i prawne” wg ceny nabycia (zakup) i na podstawie decyzji określającej wartość w przypadku otrzymania nieodpłatnie.</w:t>
      </w:r>
    </w:p>
    <w:p w14:paraId="7F2AF174" w14:textId="2CC79044"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 xml:space="preserve">Wartości niematerialne i prawne o wartości powyżej 10.000,00 zł amortyzowane </w:t>
      </w:r>
      <w:r w:rsidR="00C10F11">
        <w:rPr>
          <w:rFonts w:ascii="Calibri" w:hAnsi="Calibri" w:cs="Calibri"/>
          <w:sz w:val="24"/>
          <w:szCs w:val="24"/>
        </w:rPr>
        <w:t xml:space="preserve">                  </w:t>
      </w:r>
      <w:r>
        <w:rPr>
          <w:rFonts w:ascii="Calibri" w:hAnsi="Calibri" w:cs="Calibri"/>
          <w:sz w:val="24"/>
          <w:szCs w:val="24"/>
        </w:rPr>
        <w:t xml:space="preserve">są metodą liniową począwszy od pierwszego miesiąca po miesiącu, w którym przyjęto </w:t>
      </w:r>
      <w:r w:rsidR="00C10F11">
        <w:rPr>
          <w:rFonts w:ascii="Calibri" w:hAnsi="Calibri" w:cs="Calibri"/>
          <w:sz w:val="24"/>
          <w:szCs w:val="24"/>
        </w:rPr>
        <w:t xml:space="preserve">                        </w:t>
      </w:r>
      <w:r>
        <w:rPr>
          <w:rFonts w:ascii="Calibri" w:hAnsi="Calibri" w:cs="Calibri"/>
          <w:sz w:val="24"/>
          <w:szCs w:val="24"/>
        </w:rPr>
        <w:t>do ewidencji, według stawki  amortyzacji 25% i ewidencjonowane są na koncie 071.</w:t>
      </w:r>
    </w:p>
    <w:p w14:paraId="2D7DDA24"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Natomiast wartości niematerialne i prawne o wartości od 2.000,00 zł do 10.000,00 zł umarzane są jednorazowo w 100% w miesiącu przyjęcia do użytkowania i ewidencjonowane na koncie 072.</w:t>
      </w:r>
    </w:p>
    <w:p w14:paraId="5026593D" w14:textId="77777777" w:rsidR="00E252D8" w:rsidRDefault="00E252D8" w:rsidP="00E252D8">
      <w:pPr>
        <w:pStyle w:val="western"/>
        <w:spacing w:before="0" w:beforeAutospacing="0" w:line="360" w:lineRule="auto"/>
        <w:jc w:val="both"/>
        <w:rPr>
          <w:rFonts w:ascii="Calibri" w:hAnsi="Calibri" w:cs="Calibri"/>
          <w:sz w:val="24"/>
          <w:szCs w:val="24"/>
        </w:rPr>
      </w:pPr>
    </w:p>
    <w:p w14:paraId="6A3A61E8" w14:textId="77777777" w:rsidR="00E252D8" w:rsidRPr="00C10F11" w:rsidRDefault="00E252D8" w:rsidP="00C10F11">
      <w:pPr>
        <w:pStyle w:val="Nagwek1"/>
        <w:tabs>
          <w:tab w:val="num" w:pos="720"/>
        </w:tabs>
        <w:spacing w:before="0" w:after="0" w:line="360" w:lineRule="auto"/>
        <w:jc w:val="both"/>
        <w:rPr>
          <w:rFonts w:ascii="Calibri" w:hAnsi="Calibri" w:cs="Calibri"/>
          <w:bCs/>
          <w:i/>
          <w:color w:val="auto"/>
          <w:sz w:val="24"/>
          <w:szCs w:val="24"/>
          <w:u w:val="single"/>
        </w:rPr>
      </w:pPr>
      <w:r w:rsidRPr="00C10F11">
        <w:rPr>
          <w:rFonts w:ascii="Calibri" w:hAnsi="Calibri" w:cs="Calibri"/>
          <w:bCs/>
          <w:i/>
          <w:iCs/>
          <w:color w:val="auto"/>
          <w:sz w:val="24"/>
          <w:szCs w:val="24"/>
          <w:u w:val="single"/>
        </w:rPr>
        <w:t xml:space="preserve">Materiały </w:t>
      </w:r>
    </w:p>
    <w:p w14:paraId="5CCAFEEF"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Materiały wycenia się w cenach zakupu. Ewidencja wartościowo-ilościowa (kartoteka) prowadzona jest jedynie na materiały takie jak:</w:t>
      </w:r>
    </w:p>
    <w:p w14:paraId="72A3081D"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olej opałowy,</w:t>
      </w:r>
    </w:p>
    <w:p w14:paraId="737B32F3"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węgiel,</w:t>
      </w:r>
    </w:p>
    <w:p w14:paraId="585E7C34"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gaz</w:t>
      </w:r>
    </w:p>
    <w:p w14:paraId="3BCFAE55" w14:textId="77777777" w:rsidR="00E252D8" w:rsidRDefault="00E252D8" w:rsidP="00E252D8">
      <w:pPr>
        <w:pStyle w:val="NormalnyWeb"/>
        <w:numPr>
          <w:ilvl w:val="0"/>
          <w:numId w:val="4"/>
        </w:numPr>
        <w:spacing w:before="0" w:beforeAutospacing="0" w:line="360" w:lineRule="auto"/>
        <w:jc w:val="both"/>
        <w:rPr>
          <w:rFonts w:ascii="Calibri" w:hAnsi="Calibri" w:cs="Calibri"/>
        </w:rPr>
      </w:pPr>
      <w:r>
        <w:rPr>
          <w:rFonts w:ascii="Calibri" w:hAnsi="Calibri" w:cs="Calibri"/>
        </w:rPr>
        <w:t>paliwo do pojazdów</w:t>
      </w:r>
    </w:p>
    <w:p w14:paraId="295FCBBF" w14:textId="77777777" w:rsidR="00E252D8" w:rsidRDefault="00E252D8" w:rsidP="00E252D8">
      <w:pPr>
        <w:pStyle w:val="western"/>
        <w:spacing w:before="0" w:beforeAutospacing="0" w:line="360" w:lineRule="auto"/>
        <w:ind w:firstLine="709"/>
        <w:jc w:val="both"/>
        <w:rPr>
          <w:rFonts w:ascii="Calibri" w:hAnsi="Calibri" w:cs="Calibri"/>
          <w:sz w:val="24"/>
          <w:szCs w:val="24"/>
        </w:rPr>
      </w:pPr>
      <w:r>
        <w:rPr>
          <w:rFonts w:ascii="Calibri" w:hAnsi="Calibri" w:cs="Calibri"/>
          <w:sz w:val="24"/>
          <w:szCs w:val="24"/>
        </w:rPr>
        <w:t>Ewidencja ilościowo-wartościowa prowadzona jest odrębnie dla każdego rodzaju pojazdów (np. samochód strażacki OSP Jednorożec) lub budynku.</w:t>
      </w:r>
    </w:p>
    <w:p w14:paraId="5B182232"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Zakupione materiały obciążają od razu właściwe koszty (rezygnuje się z ewidencji wartościowej zapasów), w przypadku, gdy część z nich nie zostanie zużyta do końca roku obrotowego, to, pozostałe ilości materiałów inwentaryzuje się i po wycenie ujmuje się ich wartość na koncie materiałów, zmniejszając równocześnie odpowiednie koszty.</w:t>
      </w:r>
    </w:p>
    <w:p w14:paraId="47E4C0C4"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Na początku następnego roku obrotowego dokonuje się wyksięgowania materiałów z konta  na właściwe konta kosztów.</w:t>
      </w:r>
    </w:p>
    <w:p w14:paraId="2DC3E88F" w14:textId="77777777" w:rsidR="00E252D8" w:rsidRDefault="00E252D8" w:rsidP="00E252D8">
      <w:pPr>
        <w:pStyle w:val="NormalnyWeb"/>
        <w:spacing w:before="0" w:beforeAutospacing="0" w:line="360" w:lineRule="auto"/>
        <w:ind w:left="284"/>
        <w:jc w:val="both"/>
        <w:rPr>
          <w:rFonts w:ascii="Calibri" w:hAnsi="Calibri" w:cs="Calibri"/>
        </w:rPr>
      </w:pPr>
    </w:p>
    <w:p w14:paraId="4FBD891E" w14:textId="77777777" w:rsidR="00E252D8" w:rsidRDefault="00E252D8" w:rsidP="00C10F11">
      <w:pPr>
        <w:pStyle w:val="NormalnyWeb"/>
        <w:tabs>
          <w:tab w:val="num" w:pos="720"/>
        </w:tabs>
        <w:spacing w:before="0" w:beforeAutospacing="0" w:line="360" w:lineRule="auto"/>
        <w:jc w:val="both"/>
        <w:rPr>
          <w:rFonts w:ascii="Calibri" w:hAnsi="Calibri" w:cs="Calibri"/>
          <w:u w:val="single"/>
        </w:rPr>
      </w:pPr>
      <w:r>
        <w:rPr>
          <w:rFonts w:ascii="Calibri" w:hAnsi="Calibri" w:cs="Calibri"/>
          <w:i/>
          <w:iCs/>
          <w:u w:val="single"/>
        </w:rPr>
        <w:t>Należności długoterminowe</w:t>
      </w:r>
    </w:p>
    <w:p w14:paraId="35423591" w14:textId="77777777" w:rsidR="00E252D8" w:rsidRDefault="00E252D8" w:rsidP="00E252D8">
      <w:pPr>
        <w:pStyle w:val="NormalnyWeb"/>
        <w:spacing w:before="0" w:beforeAutospacing="0" w:line="360" w:lineRule="auto"/>
        <w:ind w:firstLine="360"/>
        <w:jc w:val="both"/>
        <w:rPr>
          <w:rFonts w:ascii="Calibri" w:hAnsi="Calibri" w:cs="Calibri"/>
        </w:rPr>
      </w:pPr>
      <w:r>
        <w:rPr>
          <w:rFonts w:ascii="Calibri" w:hAnsi="Calibri" w:cs="Calibri"/>
        </w:rPr>
        <w:t>Są to należności, których termin spłaty przypada w okresie dłuższym niż rok od dnia bilansowego. Wyceniane są w kwocie wymagającej zapłaty.</w:t>
      </w:r>
    </w:p>
    <w:p w14:paraId="480DC435" w14:textId="77777777" w:rsidR="00E252D8" w:rsidRDefault="00E252D8" w:rsidP="00E252D8">
      <w:pPr>
        <w:pStyle w:val="NormalnyWeb"/>
        <w:spacing w:before="0" w:beforeAutospacing="0" w:line="360" w:lineRule="auto"/>
        <w:ind w:left="284"/>
        <w:jc w:val="both"/>
        <w:rPr>
          <w:rFonts w:ascii="Calibri" w:hAnsi="Calibri" w:cs="Calibri"/>
        </w:rPr>
      </w:pPr>
    </w:p>
    <w:p w14:paraId="4C6C7320" w14:textId="77777777" w:rsidR="00C10F11" w:rsidRDefault="00C10F11" w:rsidP="00C10F11">
      <w:pPr>
        <w:pStyle w:val="NormalnyWeb"/>
        <w:tabs>
          <w:tab w:val="num" w:pos="720"/>
        </w:tabs>
        <w:spacing w:before="0" w:beforeAutospacing="0" w:line="360" w:lineRule="auto"/>
        <w:jc w:val="both"/>
        <w:rPr>
          <w:rFonts w:ascii="Calibri" w:hAnsi="Calibri" w:cs="Calibri"/>
          <w:i/>
          <w:iCs/>
          <w:u w:val="single"/>
        </w:rPr>
      </w:pPr>
    </w:p>
    <w:p w14:paraId="6CEDB017" w14:textId="77777777" w:rsidR="00C10F11" w:rsidRDefault="00C10F11" w:rsidP="00C10F11">
      <w:pPr>
        <w:pStyle w:val="NormalnyWeb"/>
        <w:tabs>
          <w:tab w:val="num" w:pos="720"/>
        </w:tabs>
        <w:spacing w:before="0" w:beforeAutospacing="0" w:line="360" w:lineRule="auto"/>
        <w:jc w:val="both"/>
        <w:rPr>
          <w:rFonts w:ascii="Calibri" w:hAnsi="Calibri" w:cs="Calibri"/>
          <w:i/>
          <w:iCs/>
          <w:u w:val="single"/>
        </w:rPr>
      </w:pPr>
    </w:p>
    <w:p w14:paraId="532CF880" w14:textId="778964D1" w:rsidR="00E252D8" w:rsidRDefault="00E252D8" w:rsidP="00C10F11">
      <w:pPr>
        <w:pStyle w:val="NormalnyWeb"/>
        <w:tabs>
          <w:tab w:val="num" w:pos="720"/>
        </w:tabs>
        <w:spacing w:before="0" w:beforeAutospacing="0" w:line="360" w:lineRule="auto"/>
        <w:jc w:val="both"/>
        <w:rPr>
          <w:rFonts w:ascii="Calibri" w:hAnsi="Calibri" w:cs="Calibri"/>
          <w:u w:val="single"/>
        </w:rPr>
      </w:pPr>
      <w:r>
        <w:rPr>
          <w:rFonts w:ascii="Calibri" w:hAnsi="Calibri" w:cs="Calibri"/>
          <w:i/>
          <w:iCs/>
          <w:u w:val="single"/>
        </w:rPr>
        <w:lastRenderedPageBreak/>
        <w:t>Należności krótkoterminowe</w:t>
      </w:r>
      <w:r>
        <w:rPr>
          <w:rFonts w:ascii="Calibri" w:hAnsi="Calibri" w:cs="Calibri"/>
          <w:u w:val="single"/>
        </w:rPr>
        <w:t xml:space="preserve"> </w:t>
      </w:r>
    </w:p>
    <w:p w14:paraId="7F4618C5" w14:textId="537DED34" w:rsidR="00E252D8" w:rsidRDefault="00E252D8" w:rsidP="00C10F11">
      <w:pPr>
        <w:pStyle w:val="NormalnyWeb"/>
        <w:spacing w:before="0" w:beforeAutospacing="0" w:line="360" w:lineRule="auto"/>
        <w:ind w:firstLine="709"/>
        <w:jc w:val="both"/>
        <w:rPr>
          <w:rFonts w:ascii="Calibri" w:hAnsi="Calibri" w:cs="Calibri"/>
        </w:rPr>
      </w:pPr>
      <w:r>
        <w:rPr>
          <w:rFonts w:ascii="Calibri" w:hAnsi="Calibri" w:cs="Calibri"/>
        </w:rPr>
        <w:t xml:space="preserve">Są to należności o terminie spłaty krótszym od jednego roku od dnia bilansowego. Wyceniane są w wartości nominalnej łącznie z podatkiem, a na dzień bilansowy                         </w:t>
      </w:r>
      <w:r w:rsidR="00C10F11">
        <w:rPr>
          <w:rFonts w:ascii="Calibri" w:hAnsi="Calibri" w:cs="Calibri"/>
        </w:rPr>
        <w:t xml:space="preserve">                 </w:t>
      </w:r>
      <w:r>
        <w:rPr>
          <w:rFonts w:ascii="Calibri" w:hAnsi="Calibri" w:cs="Calibri"/>
        </w:rPr>
        <w:t xml:space="preserve"> w wysokości wymaganej zapłaty, czyli łącznie z odsetkami.</w:t>
      </w:r>
    </w:p>
    <w:p w14:paraId="3F312857" w14:textId="287D2728" w:rsidR="00E252D8" w:rsidRDefault="00E252D8" w:rsidP="00C10F11">
      <w:pPr>
        <w:pStyle w:val="NormalnyWeb"/>
        <w:spacing w:before="0" w:beforeAutospacing="0" w:line="360" w:lineRule="auto"/>
        <w:ind w:firstLine="709"/>
        <w:jc w:val="both"/>
        <w:rPr>
          <w:rFonts w:ascii="Calibri" w:hAnsi="Calibri" w:cs="Calibri"/>
        </w:rPr>
      </w:pPr>
      <w:r>
        <w:rPr>
          <w:rFonts w:ascii="Calibri" w:hAnsi="Calibri" w:cs="Calibri"/>
        </w:rPr>
        <w:t>W jednostce budżetowej należności krótkoterminowe z tytułu dochodów budżetowych, których termin płatności przypada na rok bieżący ujmowane są na koncie 221 „Należności z tytułu dochodów budżetowych”. Odsetki od należności ujmuje się  w momencie zapłaty lub w wysokości odsetek należnych naliczonych na koniec kwartału.</w:t>
      </w:r>
    </w:p>
    <w:p w14:paraId="517FD5F4" w14:textId="77777777" w:rsidR="00C10F11" w:rsidRDefault="00C10F11" w:rsidP="00E252D8">
      <w:pPr>
        <w:pStyle w:val="NormalnyWeb"/>
        <w:spacing w:before="0" w:beforeAutospacing="0" w:line="360" w:lineRule="auto"/>
        <w:jc w:val="both"/>
        <w:rPr>
          <w:rFonts w:ascii="Calibri" w:hAnsi="Calibri" w:cs="Calibri"/>
          <w:i/>
          <w:iCs/>
          <w:u w:val="single"/>
        </w:rPr>
      </w:pPr>
    </w:p>
    <w:p w14:paraId="5BE5654D" w14:textId="754E221E" w:rsidR="00E252D8" w:rsidRDefault="00E252D8" w:rsidP="00E252D8">
      <w:pPr>
        <w:pStyle w:val="NormalnyWeb"/>
        <w:spacing w:before="0" w:beforeAutospacing="0" w:line="360" w:lineRule="auto"/>
        <w:jc w:val="both"/>
        <w:rPr>
          <w:rFonts w:ascii="Calibri" w:hAnsi="Calibri" w:cs="Calibri"/>
          <w:u w:val="single"/>
        </w:rPr>
      </w:pPr>
      <w:r>
        <w:rPr>
          <w:rFonts w:ascii="Calibri" w:hAnsi="Calibri" w:cs="Calibri"/>
          <w:i/>
          <w:iCs/>
          <w:u w:val="single"/>
        </w:rPr>
        <w:t xml:space="preserve">Środki pieniężne </w:t>
      </w:r>
      <w:r>
        <w:rPr>
          <w:rFonts w:ascii="Calibri" w:hAnsi="Calibri" w:cs="Calibri"/>
          <w:u w:val="single"/>
        </w:rPr>
        <w:t xml:space="preserve"> </w:t>
      </w:r>
      <w:r>
        <w:rPr>
          <w:rFonts w:ascii="Calibri" w:hAnsi="Calibri" w:cs="Calibri"/>
        </w:rPr>
        <w:t>- w kasie wycenia się według wartości nominalnej.</w:t>
      </w:r>
    </w:p>
    <w:p w14:paraId="1B59B4C1" w14:textId="77777777" w:rsidR="00C10F11" w:rsidRDefault="00C10F11" w:rsidP="00E252D8">
      <w:pPr>
        <w:pStyle w:val="NormalnyWeb"/>
        <w:spacing w:before="0" w:beforeAutospacing="0" w:line="360" w:lineRule="auto"/>
        <w:jc w:val="both"/>
        <w:rPr>
          <w:rFonts w:ascii="Calibri" w:hAnsi="Calibri" w:cs="Calibri"/>
          <w:i/>
          <w:iCs/>
          <w:u w:val="single"/>
        </w:rPr>
      </w:pPr>
    </w:p>
    <w:p w14:paraId="0A6C10B2" w14:textId="303FD1A0" w:rsidR="00E252D8" w:rsidRDefault="00E252D8" w:rsidP="00E252D8">
      <w:pPr>
        <w:pStyle w:val="NormalnyWeb"/>
        <w:spacing w:before="0" w:beforeAutospacing="0" w:line="360" w:lineRule="auto"/>
        <w:jc w:val="both"/>
        <w:rPr>
          <w:rFonts w:ascii="Calibri" w:hAnsi="Calibri" w:cs="Calibri"/>
          <w:u w:val="single"/>
        </w:rPr>
      </w:pPr>
      <w:r>
        <w:rPr>
          <w:rFonts w:ascii="Calibri" w:hAnsi="Calibri" w:cs="Calibri"/>
          <w:i/>
          <w:iCs/>
          <w:u w:val="single"/>
        </w:rPr>
        <w:t>Zobowiązania z tytułu dostaw</w:t>
      </w:r>
      <w:r>
        <w:rPr>
          <w:rFonts w:ascii="Calibri" w:hAnsi="Calibri" w:cs="Calibri"/>
        </w:rPr>
        <w:t xml:space="preserve"> - wycenia się w kwocie wymagającej zapłaty.”</w:t>
      </w:r>
    </w:p>
    <w:p w14:paraId="2736FDA2" w14:textId="77777777" w:rsidR="00C10F11" w:rsidRDefault="00C10F11" w:rsidP="00E252D8">
      <w:pPr>
        <w:pStyle w:val="western"/>
        <w:spacing w:before="0" w:beforeAutospacing="0" w:line="360" w:lineRule="auto"/>
        <w:jc w:val="both"/>
        <w:rPr>
          <w:rFonts w:ascii="Calibri" w:hAnsi="Calibri" w:cs="Calibri"/>
          <w:sz w:val="24"/>
          <w:szCs w:val="24"/>
        </w:rPr>
      </w:pPr>
    </w:p>
    <w:p w14:paraId="6EC92858" w14:textId="5B780A7B"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2. w </w:t>
      </w:r>
      <w:r>
        <w:rPr>
          <w:rFonts w:ascii="Calibri" w:hAnsi="Calibri" w:cs="Calibri"/>
          <w:b/>
          <w:bCs/>
          <w:sz w:val="24"/>
          <w:szCs w:val="24"/>
        </w:rPr>
        <w:t>załączniku Nr 2</w:t>
      </w:r>
      <w:r>
        <w:rPr>
          <w:rFonts w:ascii="Calibri" w:hAnsi="Calibri" w:cs="Calibri"/>
          <w:sz w:val="24"/>
          <w:szCs w:val="24"/>
        </w:rPr>
        <w:t xml:space="preserve"> pn. Zakładowy Plan Kont Urzędu Gminy w Jednorożcu w wprowadza się zmiany:</w:t>
      </w:r>
    </w:p>
    <w:p w14:paraId="361DB433"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1) konto </w:t>
      </w:r>
      <w:r>
        <w:rPr>
          <w:rFonts w:ascii="Calibri" w:hAnsi="Calibri" w:cs="Calibri"/>
          <w:b/>
          <w:bCs/>
          <w:sz w:val="24"/>
          <w:szCs w:val="24"/>
        </w:rPr>
        <w:t>011 – Środki trwałe</w:t>
      </w:r>
      <w:r>
        <w:rPr>
          <w:rFonts w:ascii="Calibri" w:hAnsi="Calibri" w:cs="Calibri"/>
          <w:sz w:val="24"/>
          <w:szCs w:val="24"/>
        </w:rPr>
        <w:t xml:space="preserve"> otrzymuje brzmienie:</w:t>
      </w:r>
    </w:p>
    <w:p w14:paraId="2C96E8A9"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011 służy do ewidencji stanu oraz zwiększeń i zmniejszeń wartości początkowej środków trwałych związanych z wykonywaną działalnością jednostki o wartości powyżej 10.000,00 zł. lub o wartości niższej niż 10.000,00 zł jeżeli okres użytkowania jest dłuższy niż rok i sfinansowane są ze środków na inwestycje, które nie podlegają ujęciu na kontach 013.</w:t>
      </w:r>
    </w:p>
    <w:p w14:paraId="346876F5"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011 ujmuje się zwiększenie, a na stronie Ma – zmniejszenia stanu i wartości początkowej środków trwałych, z wyjątkiem umorzenia środków trwałych, które ujmuje się na koncie 071.</w:t>
      </w:r>
    </w:p>
    <w:p w14:paraId="26A86D7F"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011 ujmuje się w szczególności:</w:t>
      </w:r>
    </w:p>
    <w:p w14:paraId="267D6878"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przychody nowych lub używanych środków trwałych pochodzących z zakupu gotowych środków trwałych lub inwestycji oraz wartość ulepszeń zwiększających wartość początkową środków trwałych,</w:t>
      </w:r>
    </w:p>
    <w:p w14:paraId="341D9A70"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przychody środków trwałych nowo ujawnionych,</w:t>
      </w:r>
    </w:p>
    <w:p w14:paraId="6EBA822B"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nieodpłatne przyjęcie środków trwałych,</w:t>
      </w:r>
    </w:p>
    <w:p w14:paraId="04209067" w14:textId="77777777" w:rsidR="00E252D8" w:rsidRDefault="00E252D8" w:rsidP="00E252D8">
      <w:pPr>
        <w:pStyle w:val="western"/>
        <w:numPr>
          <w:ilvl w:val="0"/>
          <w:numId w:val="5"/>
        </w:numPr>
        <w:spacing w:before="0" w:beforeAutospacing="0" w:line="360" w:lineRule="auto"/>
        <w:jc w:val="both"/>
        <w:rPr>
          <w:rFonts w:ascii="Calibri" w:hAnsi="Calibri" w:cs="Calibri"/>
          <w:sz w:val="24"/>
          <w:szCs w:val="24"/>
        </w:rPr>
      </w:pPr>
      <w:r>
        <w:rPr>
          <w:rFonts w:ascii="Calibri" w:hAnsi="Calibri" w:cs="Calibri"/>
          <w:sz w:val="24"/>
          <w:szCs w:val="24"/>
        </w:rPr>
        <w:t>zwiększenia wartości początkowej środków trwałych dokonywane na skutek aktualizacji ich wyceny.</w:t>
      </w:r>
    </w:p>
    <w:p w14:paraId="70507EB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Na stronie Ma konta 011 ujmuje się w szczególności:</w:t>
      </w:r>
    </w:p>
    <w:p w14:paraId="5B1AB86E" w14:textId="77777777" w:rsidR="00E252D8" w:rsidRDefault="00E252D8" w:rsidP="00E252D8">
      <w:pPr>
        <w:pStyle w:val="western"/>
        <w:numPr>
          <w:ilvl w:val="0"/>
          <w:numId w:val="6"/>
        </w:numPr>
        <w:spacing w:before="0" w:beforeAutospacing="0" w:line="360" w:lineRule="auto"/>
        <w:jc w:val="both"/>
        <w:rPr>
          <w:rFonts w:ascii="Calibri" w:hAnsi="Calibri" w:cs="Calibri"/>
          <w:sz w:val="24"/>
          <w:szCs w:val="24"/>
        </w:rPr>
      </w:pPr>
      <w:r>
        <w:rPr>
          <w:rFonts w:ascii="Calibri" w:hAnsi="Calibri" w:cs="Calibri"/>
          <w:sz w:val="24"/>
          <w:szCs w:val="24"/>
        </w:rPr>
        <w:lastRenderedPageBreak/>
        <w:t>wycofanie środków trwałych z używania na skutek ich likwidacji, z powodu zniszczenia lub zużycia, sprzedaży oraz nieodpłatnego przekazania,</w:t>
      </w:r>
    </w:p>
    <w:p w14:paraId="2B222E67" w14:textId="77777777" w:rsidR="00E252D8" w:rsidRDefault="00E252D8" w:rsidP="00E252D8">
      <w:pPr>
        <w:pStyle w:val="western"/>
        <w:numPr>
          <w:ilvl w:val="0"/>
          <w:numId w:val="6"/>
        </w:numPr>
        <w:spacing w:before="0" w:beforeAutospacing="0" w:line="360" w:lineRule="auto"/>
        <w:jc w:val="both"/>
        <w:rPr>
          <w:rFonts w:ascii="Calibri" w:hAnsi="Calibri" w:cs="Calibri"/>
          <w:sz w:val="24"/>
          <w:szCs w:val="24"/>
        </w:rPr>
      </w:pPr>
      <w:r>
        <w:rPr>
          <w:rFonts w:ascii="Calibri" w:hAnsi="Calibri" w:cs="Calibri"/>
          <w:sz w:val="24"/>
          <w:szCs w:val="24"/>
        </w:rPr>
        <w:t>ujawnione niedobory środków trwałych,</w:t>
      </w:r>
    </w:p>
    <w:p w14:paraId="595AE21C" w14:textId="77777777" w:rsidR="00E252D8" w:rsidRDefault="00E252D8" w:rsidP="00E252D8">
      <w:pPr>
        <w:pStyle w:val="western"/>
        <w:numPr>
          <w:ilvl w:val="0"/>
          <w:numId w:val="6"/>
        </w:numPr>
        <w:spacing w:before="0" w:beforeAutospacing="0" w:line="360" w:lineRule="auto"/>
        <w:jc w:val="both"/>
        <w:rPr>
          <w:rFonts w:ascii="Calibri" w:hAnsi="Calibri" w:cs="Calibri"/>
          <w:sz w:val="24"/>
          <w:szCs w:val="24"/>
        </w:rPr>
      </w:pPr>
      <w:r>
        <w:rPr>
          <w:rFonts w:ascii="Calibri" w:hAnsi="Calibri" w:cs="Calibri"/>
          <w:sz w:val="24"/>
          <w:szCs w:val="24"/>
        </w:rPr>
        <w:t>zmniejszenia wartości początkowej środków trwałych dokonywane na skutek aktualizacji ich wyceny.</w:t>
      </w:r>
    </w:p>
    <w:p w14:paraId="0EA12AF6"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Ewidencja szczegółowa prowadzona do konta 011 powinna umożliwić:</w:t>
      </w:r>
    </w:p>
    <w:p w14:paraId="57F9CA3A" w14:textId="77777777" w:rsidR="00E252D8" w:rsidRDefault="00E252D8" w:rsidP="00E252D8">
      <w:pPr>
        <w:pStyle w:val="western"/>
        <w:numPr>
          <w:ilvl w:val="0"/>
          <w:numId w:val="7"/>
        </w:numPr>
        <w:spacing w:before="0" w:beforeAutospacing="0" w:line="360" w:lineRule="auto"/>
        <w:jc w:val="both"/>
        <w:rPr>
          <w:rFonts w:ascii="Calibri" w:hAnsi="Calibri" w:cs="Calibri"/>
          <w:sz w:val="24"/>
          <w:szCs w:val="24"/>
        </w:rPr>
      </w:pPr>
      <w:r>
        <w:rPr>
          <w:rFonts w:ascii="Calibri" w:hAnsi="Calibri" w:cs="Calibri"/>
          <w:sz w:val="24"/>
          <w:szCs w:val="24"/>
        </w:rPr>
        <w:t>ustalenie wartości początkowej poszczególnych obiektów środków trwałych,</w:t>
      </w:r>
    </w:p>
    <w:p w14:paraId="24CFE904" w14:textId="77777777" w:rsidR="00E252D8" w:rsidRDefault="00E252D8" w:rsidP="00E252D8">
      <w:pPr>
        <w:pStyle w:val="western"/>
        <w:numPr>
          <w:ilvl w:val="0"/>
          <w:numId w:val="7"/>
        </w:numPr>
        <w:spacing w:before="0" w:beforeAutospacing="0" w:line="360" w:lineRule="auto"/>
        <w:jc w:val="both"/>
        <w:rPr>
          <w:rFonts w:ascii="Calibri" w:hAnsi="Calibri" w:cs="Calibri"/>
          <w:sz w:val="24"/>
          <w:szCs w:val="24"/>
        </w:rPr>
      </w:pPr>
      <w:r>
        <w:rPr>
          <w:rFonts w:ascii="Calibri" w:hAnsi="Calibri" w:cs="Calibri"/>
          <w:sz w:val="24"/>
          <w:szCs w:val="24"/>
        </w:rPr>
        <w:t>należyte obliczenie umorzenia i amortyzacji.</w:t>
      </w:r>
    </w:p>
    <w:p w14:paraId="572AFF0A" w14:textId="10761ACB"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Ewidencja szczegółowa prowadzona jest przy pomocy programu komputerowego SPUTNIK Software. Środki trwałe finansowane ze źródeł zewnętrznych przyjmowane są                                   </w:t>
      </w:r>
      <w:r w:rsidR="00C10F11">
        <w:rPr>
          <w:rFonts w:ascii="Calibri" w:hAnsi="Calibri" w:cs="Calibri"/>
          <w:sz w:val="24"/>
          <w:szCs w:val="24"/>
        </w:rPr>
        <w:t xml:space="preserve">            </w:t>
      </w:r>
      <w:r>
        <w:rPr>
          <w:rFonts w:ascii="Calibri" w:hAnsi="Calibri" w:cs="Calibri"/>
          <w:sz w:val="24"/>
          <w:szCs w:val="24"/>
        </w:rPr>
        <w:t xml:space="preserve"> z wyodrębnieniem numeru, oznaczającego cząstkę numeru umowy o dofinansowanie środków.</w:t>
      </w:r>
    </w:p>
    <w:p w14:paraId="27871281"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Konto 011 może wykazywać saldo </w:t>
      </w:r>
      <w:proofErr w:type="spellStart"/>
      <w:r>
        <w:rPr>
          <w:rFonts w:ascii="Calibri" w:hAnsi="Calibri" w:cs="Calibri"/>
          <w:sz w:val="24"/>
          <w:szCs w:val="24"/>
        </w:rPr>
        <w:t>Wn</w:t>
      </w:r>
      <w:proofErr w:type="spellEnd"/>
      <w:r>
        <w:rPr>
          <w:rFonts w:ascii="Calibri" w:hAnsi="Calibri" w:cs="Calibri"/>
          <w:sz w:val="24"/>
          <w:szCs w:val="24"/>
        </w:rPr>
        <w:t>, które oznacza stan środków trwałych                          w wartości początkowej.</w:t>
      </w:r>
    </w:p>
    <w:p w14:paraId="03DD999C"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2) konto </w:t>
      </w:r>
      <w:r>
        <w:rPr>
          <w:rFonts w:ascii="Calibri" w:hAnsi="Calibri" w:cs="Calibri"/>
          <w:b/>
          <w:bCs/>
          <w:sz w:val="24"/>
          <w:szCs w:val="24"/>
        </w:rPr>
        <w:t>013 – Pozostałe środki trwałe</w:t>
      </w:r>
      <w:r>
        <w:rPr>
          <w:rFonts w:ascii="Calibri" w:hAnsi="Calibri" w:cs="Calibri"/>
          <w:sz w:val="24"/>
          <w:szCs w:val="24"/>
        </w:rPr>
        <w:t xml:space="preserve"> otrzymuje brzmienie:</w:t>
      </w:r>
    </w:p>
    <w:p w14:paraId="675AB8BB" w14:textId="1F5626FB"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013 służy do ewidencji stanu oraz zwiększeń i zmniejszeń wartości początkowej pozostałych środków trwałych o wartości od 2.000,00 zł do 10.000,00 zł, nie podlegających ujęciu na kontach 011, wydanych do używania na potrzeby działalności podstawowej jednostki, które podlegają umorzeniu lub amortyzacji w pełnej wartości w miesiącu wydania do używania.</w:t>
      </w:r>
    </w:p>
    <w:p w14:paraId="1E6DCD94" w14:textId="602B240C"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013 ujmuje się zwiększenia, a na stronie Ma – zmniejszenia stanu i wartości początkowej pozostałych środków trwałych znajdujących się w używaniu,</w:t>
      </w:r>
      <w:r w:rsidR="00C10F11">
        <w:rPr>
          <w:rFonts w:ascii="Calibri" w:hAnsi="Calibri" w:cs="Calibri"/>
          <w:sz w:val="24"/>
          <w:szCs w:val="24"/>
        </w:rPr>
        <w:t xml:space="preserve">                                  </w:t>
      </w:r>
      <w:r>
        <w:rPr>
          <w:rFonts w:ascii="Calibri" w:hAnsi="Calibri" w:cs="Calibri"/>
          <w:sz w:val="24"/>
          <w:szCs w:val="24"/>
        </w:rPr>
        <w:t>z wyjątkiem umorzenia ujmowanego na koncie 072.</w:t>
      </w:r>
    </w:p>
    <w:p w14:paraId="757472F7"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013 ujmuje się w szczególności:</w:t>
      </w:r>
    </w:p>
    <w:p w14:paraId="0F6B6385" w14:textId="77777777" w:rsidR="00E252D8" w:rsidRDefault="00E252D8" w:rsidP="00E252D8">
      <w:pPr>
        <w:pStyle w:val="western"/>
        <w:numPr>
          <w:ilvl w:val="0"/>
          <w:numId w:val="8"/>
        </w:numPr>
        <w:spacing w:before="0" w:beforeAutospacing="0" w:line="360" w:lineRule="auto"/>
        <w:jc w:val="both"/>
        <w:rPr>
          <w:rFonts w:ascii="Calibri" w:hAnsi="Calibri" w:cs="Calibri"/>
          <w:sz w:val="24"/>
          <w:szCs w:val="24"/>
        </w:rPr>
      </w:pPr>
      <w:r>
        <w:rPr>
          <w:rFonts w:ascii="Calibri" w:hAnsi="Calibri" w:cs="Calibri"/>
          <w:sz w:val="24"/>
          <w:szCs w:val="24"/>
        </w:rPr>
        <w:t>środki trwałe przyjęte do używania z zakupu lub inwestycji,</w:t>
      </w:r>
    </w:p>
    <w:p w14:paraId="25D5AD79" w14:textId="77777777" w:rsidR="00E252D8" w:rsidRDefault="00E252D8" w:rsidP="00E252D8">
      <w:pPr>
        <w:pStyle w:val="western"/>
        <w:numPr>
          <w:ilvl w:val="0"/>
          <w:numId w:val="8"/>
        </w:numPr>
        <w:spacing w:before="0" w:beforeAutospacing="0" w:line="360" w:lineRule="auto"/>
        <w:jc w:val="both"/>
        <w:rPr>
          <w:rFonts w:ascii="Calibri" w:hAnsi="Calibri" w:cs="Calibri"/>
          <w:sz w:val="24"/>
          <w:szCs w:val="24"/>
        </w:rPr>
      </w:pPr>
      <w:r>
        <w:rPr>
          <w:rFonts w:ascii="Calibri" w:hAnsi="Calibri" w:cs="Calibri"/>
          <w:sz w:val="24"/>
          <w:szCs w:val="24"/>
        </w:rPr>
        <w:t>nadwyżki środków trwałych w używaniu,</w:t>
      </w:r>
    </w:p>
    <w:p w14:paraId="116CD1BA" w14:textId="77777777" w:rsidR="00E252D8" w:rsidRDefault="00E252D8" w:rsidP="00E252D8">
      <w:pPr>
        <w:pStyle w:val="western"/>
        <w:numPr>
          <w:ilvl w:val="0"/>
          <w:numId w:val="8"/>
        </w:numPr>
        <w:spacing w:before="0" w:beforeAutospacing="0" w:line="360" w:lineRule="auto"/>
        <w:jc w:val="both"/>
        <w:rPr>
          <w:rFonts w:ascii="Calibri" w:hAnsi="Calibri" w:cs="Calibri"/>
          <w:sz w:val="24"/>
          <w:szCs w:val="24"/>
        </w:rPr>
      </w:pPr>
      <w:r>
        <w:rPr>
          <w:rFonts w:ascii="Calibri" w:hAnsi="Calibri" w:cs="Calibri"/>
          <w:sz w:val="24"/>
          <w:szCs w:val="24"/>
        </w:rPr>
        <w:t>nieodpłatne otrzymanie środków trwałych.</w:t>
      </w:r>
    </w:p>
    <w:p w14:paraId="16B68D16"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Na stronie Ma konta 013 ujmuje się w szczególności:</w:t>
      </w:r>
    </w:p>
    <w:p w14:paraId="744F4787" w14:textId="77777777" w:rsidR="00E252D8" w:rsidRDefault="00E252D8" w:rsidP="00E252D8">
      <w:pPr>
        <w:pStyle w:val="western"/>
        <w:numPr>
          <w:ilvl w:val="0"/>
          <w:numId w:val="9"/>
        </w:numPr>
        <w:spacing w:before="0" w:beforeAutospacing="0" w:line="360" w:lineRule="auto"/>
        <w:jc w:val="both"/>
        <w:rPr>
          <w:rFonts w:ascii="Calibri" w:hAnsi="Calibri" w:cs="Calibri"/>
          <w:sz w:val="24"/>
          <w:szCs w:val="24"/>
        </w:rPr>
      </w:pPr>
      <w:r>
        <w:rPr>
          <w:rFonts w:ascii="Calibri" w:hAnsi="Calibri" w:cs="Calibri"/>
          <w:sz w:val="24"/>
          <w:szCs w:val="24"/>
        </w:rPr>
        <w:t>wycofanie środków trwałych z używania na skutek likwidacji, zniszczenia lub zużycia, sprzedaży, nieodpłatnego przekazania,</w:t>
      </w:r>
    </w:p>
    <w:p w14:paraId="2077EB46" w14:textId="77777777" w:rsidR="00E252D8" w:rsidRDefault="00E252D8" w:rsidP="00E252D8">
      <w:pPr>
        <w:pStyle w:val="western"/>
        <w:numPr>
          <w:ilvl w:val="0"/>
          <w:numId w:val="9"/>
        </w:numPr>
        <w:spacing w:before="0" w:beforeAutospacing="0" w:line="360" w:lineRule="auto"/>
        <w:jc w:val="both"/>
        <w:rPr>
          <w:rFonts w:ascii="Calibri" w:hAnsi="Calibri" w:cs="Calibri"/>
          <w:sz w:val="24"/>
          <w:szCs w:val="24"/>
        </w:rPr>
      </w:pPr>
      <w:r>
        <w:rPr>
          <w:rFonts w:ascii="Calibri" w:hAnsi="Calibri" w:cs="Calibri"/>
          <w:sz w:val="24"/>
          <w:szCs w:val="24"/>
        </w:rPr>
        <w:t>ujawnione niedobory środków trwałych.</w:t>
      </w:r>
    </w:p>
    <w:p w14:paraId="33899F31"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lastRenderedPageBreak/>
        <w:t>Ewidencja szczegółowa prowadzona do konta 013 powinna umożliwić ustalenie wartości początkowej środków trwałych.</w:t>
      </w:r>
    </w:p>
    <w:p w14:paraId="41ACEE92" w14:textId="05CB7CA1"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Ewidencję szczegółową prowadzi się w księgach inwentarzowych,  w podziale na Urząd Gminy, Ośrodki Zdrowia, Gospodarkę Komunalną, Hydrofornie i oczyszczalnię ścieków, OSP.</w:t>
      </w:r>
    </w:p>
    <w:p w14:paraId="224933BA" w14:textId="1A721B7F"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Pozostałe środki trwałe o wartości nieprzekraczającej 2.000,00 zł nie podlegają  ewidencj</w:t>
      </w:r>
      <w:r w:rsidR="00C10F11">
        <w:rPr>
          <w:rFonts w:ascii="Calibri" w:hAnsi="Calibri" w:cs="Calibri"/>
          <w:sz w:val="24"/>
          <w:szCs w:val="24"/>
        </w:rPr>
        <w:t>i</w:t>
      </w:r>
      <w:r>
        <w:rPr>
          <w:rFonts w:ascii="Calibri" w:hAnsi="Calibri" w:cs="Calibri"/>
          <w:sz w:val="24"/>
          <w:szCs w:val="24"/>
        </w:rPr>
        <w:t>.</w:t>
      </w:r>
    </w:p>
    <w:p w14:paraId="6D52347E"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 xml:space="preserve">Konto 013 może wykazywać saldo </w:t>
      </w:r>
      <w:proofErr w:type="spellStart"/>
      <w:r>
        <w:rPr>
          <w:rFonts w:ascii="Calibri" w:hAnsi="Calibri" w:cs="Calibri"/>
          <w:sz w:val="24"/>
          <w:szCs w:val="24"/>
        </w:rPr>
        <w:t>Wn</w:t>
      </w:r>
      <w:proofErr w:type="spellEnd"/>
      <w:r>
        <w:rPr>
          <w:rFonts w:ascii="Calibri" w:hAnsi="Calibri" w:cs="Calibri"/>
          <w:sz w:val="24"/>
          <w:szCs w:val="24"/>
        </w:rPr>
        <w:t>, które wyraża wartość środków trwałych znajdujących się w używaniu w wartości początkowej.</w:t>
      </w:r>
    </w:p>
    <w:p w14:paraId="05B4C262"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3) konto </w:t>
      </w:r>
      <w:r>
        <w:rPr>
          <w:rFonts w:ascii="Calibri" w:hAnsi="Calibri" w:cs="Calibri"/>
          <w:b/>
          <w:bCs/>
          <w:sz w:val="24"/>
          <w:szCs w:val="24"/>
        </w:rPr>
        <w:t>020 – Wartości niematerialne i prawne</w:t>
      </w:r>
      <w:r>
        <w:rPr>
          <w:rFonts w:ascii="Calibri" w:hAnsi="Calibri" w:cs="Calibri"/>
          <w:sz w:val="24"/>
          <w:szCs w:val="24"/>
        </w:rPr>
        <w:t xml:space="preserve"> otrzymuje brzmienie:</w:t>
      </w:r>
    </w:p>
    <w:p w14:paraId="0291DFC7"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020 służy do ewidencji stanu oraz zwiększeń i zmniejszeń wartości początkowej wartości niematerialnych i prawnych, do których zalicza się:</w:t>
      </w:r>
    </w:p>
    <w:p w14:paraId="31429548"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autorskie prawa majątkowe, prawa pokrewne, licencje, koncesje,</w:t>
      </w:r>
    </w:p>
    <w:p w14:paraId="6265C9A4"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prawa do wynalazków, patentów, znaków towarowych, wzorów użytkowych oraz zdobniczych.</w:t>
      </w:r>
    </w:p>
    <w:p w14:paraId="75F58B4A"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020 ujmuje się wszelkie zwiększenia, a na stronie Ma – wszelkie zmniejszenia stanu wartości początkowej wartości niematerialnych i prawnych, z wyjątkiem umorzenia.</w:t>
      </w:r>
    </w:p>
    <w:p w14:paraId="67ED999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Ewidencja szczegółowa prowadzona do konta 020 :</w:t>
      </w:r>
    </w:p>
    <w:p w14:paraId="212AB5BD"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- 020-1 – ewidencja </w:t>
      </w:r>
      <w:proofErr w:type="spellStart"/>
      <w:r>
        <w:rPr>
          <w:rFonts w:ascii="Calibri" w:hAnsi="Calibri" w:cs="Calibri"/>
          <w:sz w:val="24"/>
          <w:szCs w:val="24"/>
        </w:rPr>
        <w:t>WNiP</w:t>
      </w:r>
      <w:proofErr w:type="spellEnd"/>
      <w:r>
        <w:rPr>
          <w:rFonts w:ascii="Calibri" w:hAnsi="Calibri" w:cs="Calibri"/>
          <w:sz w:val="24"/>
          <w:szCs w:val="24"/>
        </w:rPr>
        <w:t xml:space="preserve"> o wartości powyżej 10.000,00 zł,</w:t>
      </w:r>
    </w:p>
    <w:p w14:paraId="7E8AD2BF"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- 020- 2 - ewidencja </w:t>
      </w:r>
      <w:proofErr w:type="spellStart"/>
      <w:r>
        <w:rPr>
          <w:rFonts w:ascii="Calibri" w:hAnsi="Calibri" w:cs="Calibri"/>
          <w:sz w:val="24"/>
          <w:szCs w:val="24"/>
        </w:rPr>
        <w:t>WNiP</w:t>
      </w:r>
      <w:proofErr w:type="spellEnd"/>
      <w:r>
        <w:rPr>
          <w:rFonts w:ascii="Calibri" w:hAnsi="Calibri" w:cs="Calibri"/>
          <w:sz w:val="24"/>
          <w:szCs w:val="24"/>
        </w:rPr>
        <w:t xml:space="preserve"> o wartości od 2.000,00 zł do 10.000,00 zł.,</w:t>
      </w:r>
    </w:p>
    <w:p w14:paraId="2EC3E758" w14:textId="5B60E53A"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W/w ewidencja powinna umożliwić należyte obliczanie umorzenia wartości niematerialnych </w:t>
      </w:r>
      <w:r w:rsidR="00C10F11">
        <w:rPr>
          <w:rFonts w:ascii="Calibri" w:hAnsi="Calibri" w:cs="Calibri"/>
          <w:sz w:val="24"/>
          <w:szCs w:val="24"/>
        </w:rPr>
        <w:t xml:space="preserve">              </w:t>
      </w:r>
      <w:r>
        <w:rPr>
          <w:rFonts w:ascii="Calibri" w:hAnsi="Calibri" w:cs="Calibri"/>
          <w:sz w:val="24"/>
          <w:szCs w:val="24"/>
        </w:rPr>
        <w:t>i prawnych.</w:t>
      </w:r>
    </w:p>
    <w:p w14:paraId="2C8EDB7C" w14:textId="77777777" w:rsidR="00E252D8" w:rsidRDefault="00E252D8" w:rsidP="00E252D8">
      <w:pPr>
        <w:pStyle w:val="western"/>
        <w:spacing w:before="0" w:beforeAutospacing="0" w:line="360" w:lineRule="auto"/>
        <w:ind w:firstLine="360"/>
        <w:jc w:val="both"/>
        <w:rPr>
          <w:rFonts w:ascii="Calibri" w:hAnsi="Calibri" w:cs="Calibri"/>
          <w:sz w:val="24"/>
          <w:szCs w:val="24"/>
        </w:rPr>
      </w:pPr>
      <w:r>
        <w:rPr>
          <w:rFonts w:ascii="Calibri" w:hAnsi="Calibri" w:cs="Calibri"/>
          <w:sz w:val="24"/>
          <w:szCs w:val="24"/>
        </w:rPr>
        <w:t>Wartości niematerialne i prawne o wartości nieprzekraczającej 2.000,00 zł nie podlegają ewidencji.</w:t>
      </w:r>
    </w:p>
    <w:p w14:paraId="7F86E694"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Konto 020 może wykazywać saldo </w:t>
      </w:r>
      <w:proofErr w:type="spellStart"/>
      <w:r>
        <w:rPr>
          <w:rFonts w:ascii="Calibri" w:hAnsi="Calibri" w:cs="Calibri"/>
          <w:sz w:val="24"/>
          <w:szCs w:val="24"/>
        </w:rPr>
        <w:t>Wn</w:t>
      </w:r>
      <w:proofErr w:type="spellEnd"/>
      <w:r>
        <w:rPr>
          <w:rFonts w:ascii="Calibri" w:hAnsi="Calibri" w:cs="Calibri"/>
          <w:sz w:val="24"/>
          <w:szCs w:val="24"/>
        </w:rPr>
        <w:t>, które oznacza stan wartości niematerialnych               i prawnych w wartości początkowej.</w:t>
      </w:r>
    </w:p>
    <w:p w14:paraId="7548C75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4) konto </w:t>
      </w:r>
      <w:r>
        <w:rPr>
          <w:rFonts w:ascii="Calibri" w:hAnsi="Calibri" w:cs="Calibri"/>
          <w:b/>
          <w:bCs/>
          <w:sz w:val="24"/>
          <w:szCs w:val="24"/>
        </w:rPr>
        <w:t xml:space="preserve">072 – Umorzenie pozostałych środków trwałych oraz wartości niematerialnych </w:t>
      </w:r>
    </w:p>
    <w:p w14:paraId="0414D730"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b/>
          <w:bCs/>
          <w:sz w:val="24"/>
          <w:szCs w:val="24"/>
        </w:rPr>
        <w:t>i prawnych</w:t>
      </w:r>
      <w:r>
        <w:rPr>
          <w:rFonts w:ascii="Calibri" w:hAnsi="Calibri" w:cs="Calibri"/>
          <w:sz w:val="24"/>
          <w:szCs w:val="24"/>
        </w:rPr>
        <w:t xml:space="preserve"> otrzymuje brzmienie:</w:t>
      </w:r>
    </w:p>
    <w:p w14:paraId="2E8FF9EC"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b/>
          <w:bCs/>
          <w:sz w:val="24"/>
          <w:szCs w:val="24"/>
        </w:rPr>
        <w:t>„</w:t>
      </w:r>
      <w:r>
        <w:rPr>
          <w:rFonts w:ascii="Calibri" w:hAnsi="Calibri" w:cs="Calibri"/>
          <w:sz w:val="24"/>
          <w:szCs w:val="24"/>
        </w:rPr>
        <w:t>Konto 072 służy do ewidencji zmniejszeń wartości początkowej środków trwałych oraz wartości niematerialnych i prawnych, podlegających umorzeniu jednorazowo w pełnej wartości, w miesiącu wydania ich do używania.</w:t>
      </w:r>
    </w:p>
    <w:p w14:paraId="64739006"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Umorzenie księgowane jest w korespondencji z kontem 401.</w:t>
      </w:r>
    </w:p>
    <w:p w14:paraId="40692659"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lastRenderedPageBreak/>
        <w:t xml:space="preserve">Na stronie Ma konta 072 ujmuje się zwiększenia, a na stronie </w:t>
      </w:r>
      <w:proofErr w:type="spellStart"/>
      <w:r>
        <w:rPr>
          <w:rFonts w:ascii="Calibri" w:hAnsi="Calibri" w:cs="Calibri"/>
          <w:sz w:val="24"/>
          <w:szCs w:val="24"/>
        </w:rPr>
        <w:t>Wn</w:t>
      </w:r>
      <w:proofErr w:type="spellEnd"/>
      <w:r>
        <w:rPr>
          <w:rFonts w:ascii="Calibri" w:hAnsi="Calibri" w:cs="Calibri"/>
          <w:sz w:val="24"/>
          <w:szCs w:val="24"/>
        </w:rPr>
        <w:t xml:space="preserve"> – zmniejszenia umorzenia wartości początkowej środków trwałych oraz wartości niematerialnych                             i prawnych.</w:t>
      </w:r>
    </w:p>
    <w:p w14:paraId="1CF0FAF4"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 xml:space="preserve">Na stronie </w:t>
      </w:r>
      <w:proofErr w:type="spellStart"/>
      <w:r>
        <w:rPr>
          <w:rFonts w:ascii="Calibri" w:hAnsi="Calibri" w:cs="Calibri"/>
          <w:sz w:val="24"/>
          <w:szCs w:val="24"/>
        </w:rPr>
        <w:t>Wn</w:t>
      </w:r>
      <w:proofErr w:type="spellEnd"/>
      <w:r>
        <w:rPr>
          <w:rFonts w:ascii="Calibri" w:hAnsi="Calibri" w:cs="Calibri"/>
          <w:sz w:val="24"/>
          <w:szCs w:val="24"/>
        </w:rPr>
        <w:t xml:space="preserve"> konta 072 ujmuje się umorzenie pozostałych środków trwałych oraz wartości niematerialnych i prawnych zlikwidowanych z powodu zużycia lub zniszczenia, sprzedanych, przekazanych nieodpłatnie, a także stanowiących niedobór lub szkodę.</w:t>
      </w:r>
    </w:p>
    <w:p w14:paraId="63D81537"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Na stronie Ma konta 072 ujmuje się odpisy umorzenia nowych, wydanych do używania pozostałych środków trwałych oraz wartości niematerialnych i prawnych obciążające odpowiednie koszty, dotyczące nadwyżek pozostałych środków trwałych oraz wartości niematerialnych i prawnych, dotyczące pozostałych środków trwałych oraz wartości niematerialnych i prawnych otrzymanych nieodpłatnie.</w:t>
      </w:r>
    </w:p>
    <w:p w14:paraId="73B2D01F"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Ewidencję szczegółową do konta 072 prowadzi się:</w:t>
      </w:r>
    </w:p>
    <w:p w14:paraId="2DE719BE"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- 072-1 – umorzenie pozostałych środków trwałych o wartości od 2.000,00 zł do 10.000,00 zł w korespondencji z kontem 013,</w:t>
      </w:r>
    </w:p>
    <w:p w14:paraId="15D357D5"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- 072-2 – umorzenie </w:t>
      </w:r>
      <w:proofErr w:type="spellStart"/>
      <w:r>
        <w:rPr>
          <w:rFonts w:ascii="Calibri" w:hAnsi="Calibri" w:cs="Calibri"/>
          <w:sz w:val="24"/>
          <w:szCs w:val="24"/>
        </w:rPr>
        <w:t>WNiP</w:t>
      </w:r>
      <w:proofErr w:type="spellEnd"/>
      <w:r>
        <w:rPr>
          <w:rFonts w:ascii="Calibri" w:hAnsi="Calibri" w:cs="Calibri"/>
          <w:sz w:val="24"/>
          <w:szCs w:val="24"/>
        </w:rPr>
        <w:t xml:space="preserve"> o wartości od 2.000,00 zł do 10.000,00 zł w korespondencji                      z kontem 020-2.</w:t>
      </w:r>
    </w:p>
    <w:p w14:paraId="67DD36A1"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072 może wykazywać saldo Ma, które wyraża stan umorzenia wartości początkowej środków trwałych oraz wartości niematerialnych i prawnych umorzonych                  w pełnej wartości w miesiącu wydania ich do używania.</w:t>
      </w:r>
    </w:p>
    <w:p w14:paraId="2C85BDCB" w14:textId="77777777" w:rsidR="00E252D8" w:rsidRDefault="00E252D8" w:rsidP="00E252D8">
      <w:pPr>
        <w:pStyle w:val="western"/>
        <w:spacing w:before="0" w:beforeAutospacing="0" w:line="360" w:lineRule="auto"/>
        <w:jc w:val="both"/>
        <w:rPr>
          <w:rFonts w:ascii="Calibri" w:hAnsi="Calibri" w:cs="Calibri"/>
          <w:sz w:val="24"/>
          <w:szCs w:val="24"/>
        </w:rPr>
      </w:pPr>
      <w:r>
        <w:rPr>
          <w:rFonts w:ascii="Calibri" w:hAnsi="Calibri" w:cs="Calibri"/>
          <w:sz w:val="24"/>
          <w:szCs w:val="24"/>
        </w:rPr>
        <w:t xml:space="preserve">5) konto </w:t>
      </w:r>
      <w:r>
        <w:rPr>
          <w:rFonts w:ascii="Calibri" w:hAnsi="Calibri" w:cs="Calibri"/>
          <w:b/>
          <w:bCs/>
          <w:sz w:val="24"/>
          <w:szCs w:val="24"/>
        </w:rPr>
        <w:t>310 – Materiały</w:t>
      </w:r>
      <w:r>
        <w:rPr>
          <w:rFonts w:ascii="Calibri" w:hAnsi="Calibri" w:cs="Calibri"/>
          <w:sz w:val="24"/>
          <w:szCs w:val="24"/>
        </w:rPr>
        <w:t xml:space="preserve"> otrzymuje brzmienie:</w:t>
      </w:r>
    </w:p>
    <w:p w14:paraId="21CEDF87" w14:textId="77777777" w:rsidR="00E252D8" w:rsidRDefault="00E252D8" w:rsidP="00E252D8">
      <w:pPr>
        <w:pStyle w:val="western"/>
        <w:spacing w:before="0" w:beforeAutospacing="0" w:line="360" w:lineRule="auto"/>
        <w:ind w:firstLine="708"/>
        <w:jc w:val="both"/>
        <w:rPr>
          <w:rFonts w:ascii="Calibri" w:hAnsi="Calibri" w:cs="Calibri"/>
          <w:sz w:val="24"/>
          <w:szCs w:val="24"/>
        </w:rPr>
      </w:pPr>
      <w:r>
        <w:rPr>
          <w:rFonts w:ascii="Calibri" w:hAnsi="Calibri" w:cs="Calibri"/>
          <w:sz w:val="24"/>
          <w:szCs w:val="24"/>
        </w:rPr>
        <w:t>„Konto 310 - służy ewidencji własnych zapasów materiałów znajdujących się                         w magazynach.</w:t>
      </w:r>
    </w:p>
    <w:p w14:paraId="1861FC29" w14:textId="77777777" w:rsidR="00E252D8" w:rsidRDefault="00E252D8" w:rsidP="00E252D8">
      <w:pPr>
        <w:pStyle w:val="NormalnyWeb"/>
        <w:spacing w:before="0" w:beforeAutospacing="0" w:line="360" w:lineRule="auto"/>
        <w:ind w:firstLine="708"/>
        <w:jc w:val="both"/>
        <w:rPr>
          <w:rFonts w:ascii="Calibri" w:hAnsi="Calibri" w:cs="Calibri"/>
        </w:rPr>
      </w:pPr>
      <w:r>
        <w:rPr>
          <w:rFonts w:ascii="Calibri" w:hAnsi="Calibri" w:cs="Calibri"/>
        </w:rPr>
        <w:t>Zakupione materiały finansowane wydatkami bieżącymi obciążają od razu właściwe koszty (rezygnuje się z ewidencji wartościowej zapasów), lecz w przypadku gdy część z nich nie zostanie zużyta do końca roku obrotowego, to pozostałe ilości materiałów obejmuje się weryfikacją i po wycenie na podstawie protokołu ujmuje się ich wartość na koncie 310, zmniejszając równocześnie odpowiednie koszty.</w:t>
      </w:r>
    </w:p>
    <w:p w14:paraId="02137AA1" w14:textId="77777777" w:rsidR="00E252D8" w:rsidRDefault="00E252D8" w:rsidP="00E252D8">
      <w:pPr>
        <w:pStyle w:val="NormalnyWeb"/>
        <w:spacing w:before="0" w:beforeAutospacing="0" w:line="360" w:lineRule="auto"/>
        <w:jc w:val="both"/>
        <w:rPr>
          <w:rFonts w:ascii="Calibri" w:hAnsi="Calibri" w:cs="Calibri"/>
        </w:rPr>
      </w:pPr>
      <w:r>
        <w:rPr>
          <w:rFonts w:ascii="Calibri" w:hAnsi="Calibri" w:cs="Calibri"/>
        </w:rPr>
        <w:t>Na początku następnego roku obrotowego dokonuje się wyksięgowania materiałów z konta 310 na właściwe konta kosztów.</w:t>
      </w:r>
    </w:p>
    <w:p w14:paraId="40541BC6" w14:textId="77777777" w:rsidR="00E252D8" w:rsidRDefault="00E252D8" w:rsidP="00E252D8">
      <w:pPr>
        <w:pStyle w:val="NormalnyWeb"/>
        <w:spacing w:before="0" w:beforeAutospacing="0" w:line="360" w:lineRule="auto"/>
        <w:ind w:firstLine="708"/>
        <w:jc w:val="both"/>
        <w:rPr>
          <w:rFonts w:ascii="Calibri" w:hAnsi="Calibri" w:cs="Calibri"/>
        </w:rPr>
      </w:pPr>
      <w:r>
        <w:rPr>
          <w:rFonts w:ascii="Calibri" w:hAnsi="Calibri" w:cs="Calibri"/>
        </w:rPr>
        <w:t>Ewidencja analityczna prowadzona jest według poszczególnych rodzajów materiałów oraz miejsc znajdowania się i osób, którym powierzono piecze nad nimi.</w:t>
      </w:r>
    </w:p>
    <w:p w14:paraId="75BA57FD" w14:textId="77777777" w:rsidR="00E252D8" w:rsidRDefault="00E252D8" w:rsidP="00E252D8">
      <w:pPr>
        <w:pStyle w:val="NormalnyWeb"/>
        <w:spacing w:before="0" w:beforeAutospacing="0" w:line="360" w:lineRule="auto"/>
        <w:ind w:firstLine="708"/>
        <w:jc w:val="both"/>
        <w:rPr>
          <w:rFonts w:ascii="Calibri" w:hAnsi="Calibri" w:cs="Calibri"/>
        </w:rPr>
      </w:pPr>
      <w:r>
        <w:rPr>
          <w:rFonts w:ascii="Calibri" w:hAnsi="Calibri" w:cs="Calibri"/>
        </w:rPr>
        <w:t xml:space="preserve">Konto 310 może wykazywać saldo </w:t>
      </w:r>
      <w:proofErr w:type="spellStart"/>
      <w:r>
        <w:rPr>
          <w:rFonts w:ascii="Calibri" w:hAnsi="Calibri" w:cs="Calibri"/>
        </w:rPr>
        <w:t>Wn</w:t>
      </w:r>
      <w:proofErr w:type="spellEnd"/>
      <w:r>
        <w:rPr>
          <w:rFonts w:ascii="Calibri" w:hAnsi="Calibri" w:cs="Calibri"/>
        </w:rPr>
        <w:t>, które wyrażą stan zapasów materiałów.”</w:t>
      </w:r>
    </w:p>
    <w:p w14:paraId="08CE8CAF"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lastRenderedPageBreak/>
        <w:t xml:space="preserve">§ 2. Dla operacji gospodarczych dokonanych na przełomie roku 2026 / 2027 stosuje się zasadę przyporządkowania klasyfikacji do daty operacji gospodarczej, a nie do daty zapisu księgowego. Wydatek dokonany w 2026 roku, lecz zaksięgowany w 2027 roku klasyfikuje się według paragrafów obowiązujących do 31 grudnia 2026 roku. Wydatek dokonany w 2027 roku klasyfikuje się według paragrafów obowiązujących od 1 stycznia 2027 roku, niezależnie od tego czy wynika z umowy zawartej w 2026 roku. </w:t>
      </w:r>
    </w:p>
    <w:p w14:paraId="76F7CE24" w14:textId="77777777" w:rsidR="00E252D8" w:rsidRDefault="00E252D8" w:rsidP="00E252D8">
      <w:pPr>
        <w:pStyle w:val="western"/>
        <w:spacing w:before="0" w:beforeAutospacing="0" w:line="360" w:lineRule="auto"/>
        <w:ind w:firstLine="708"/>
        <w:jc w:val="both"/>
        <w:rPr>
          <w:rFonts w:ascii="Calibri" w:hAnsi="Calibri" w:cs="Calibri"/>
          <w:bCs/>
          <w:sz w:val="24"/>
          <w:szCs w:val="24"/>
        </w:rPr>
      </w:pPr>
      <w:r>
        <w:rPr>
          <w:rFonts w:ascii="Calibri" w:hAnsi="Calibri" w:cs="Calibri"/>
          <w:bCs/>
          <w:sz w:val="24"/>
          <w:szCs w:val="24"/>
        </w:rPr>
        <w:t xml:space="preserve">Zobowiązania powstałe w 2026 roku i zapłacone w 2027 roku podlegają klasyfikacji             w dwóch wymiarach. </w:t>
      </w:r>
    </w:p>
    <w:p w14:paraId="1BAC409A"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Memoriałowo, na koncie zobowiązań, zostają ujęte w klasyfikacji obowiązującej do 31 grudnia 2026 roku zgodnie z datą powstania operacji (data faktury, dokumentu źródłowego). Bilans zamknięcia 2026 roku oraz sprawozdania budżetowe za IV kwartał 2026 roku prezentują to zobowiązanie z klasyfikacją obowiązującą do 31 grudnia 2026 roku.</w:t>
      </w:r>
    </w:p>
    <w:p w14:paraId="3A3721CC"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xml:space="preserve">Kasowo, w momencie zapłaty w 2027 roku, wydatek klasyfikuje się według odpowiadającej operacji ekonomicznej, z zastosowaniem paragrafów obowiązujących od 1 stycznia 2027 roku. </w:t>
      </w:r>
    </w:p>
    <w:p w14:paraId="70185E62"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Dla zobowiązań wykazywanych w bilansie otwarcia na 2027 rok sporządza się tabelaryczne zestawienie w na dzień 31 grudnia 2026 roku określające tytuł zobowiązania oraz wskazujące  § obowiązujący w 2026 roku tj. zastosowany przy księgowaniu operacji w koszty roku 2026                i § obowiązujący w 2027 roku tj. stosowany przy zapłacie zobowiązania. W/w zestawienie stanowi załącznik do polecenia księgowania (PK) na podstawie, którego wprowadza się bilans otwarcia na 2027 rok.</w:t>
      </w:r>
    </w:p>
    <w:p w14:paraId="41735C4C" w14:textId="37B0A8AE" w:rsidR="00C10F11" w:rsidRDefault="00E252D8" w:rsidP="00C10F11">
      <w:pPr>
        <w:pStyle w:val="western"/>
        <w:spacing w:before="0" w:beforeAutospacing="0" w:line="360" w:lineRule="auto"/>
        <w:ind w:firstLine="708"/>
        <w:jc w:val="both"/>
        <w:rPr>
          <w:rFonts w:ascii="Calibri" w:hAnsi="Calibri" w:cs="Calibri"/>
          <w:bCs/>
          <w:sz w:val="24"/>
          <w:szCs w:val="24"/>
        </w:rPr>
      </w:pPr>
      <w:r>
        <w:rPr>
          <w:rFonts w:ascii="Calibri" w:hAnsi="Calibri" w:cs="Calibri"/>
          <w:bCs/>
          <w:sz w:val="24"/>
          <w:szCs w:val="24"/>
        </w:rPr>
        <w:t>Zaangażowanie z 2026 roku przeniesione na 2027 rok ujmuje się na koncie 998 według paragrafów obowiązujących od 1 stycznia 2027 roku na podstawie polecenia księgowania. Do w/w zaangażowania sporządza się tabelaryczne zestawienie w na dzień 31 grudnia 2026 roku określające tytuł zobowiązania oraz wskazujące § obowiązujący w 2026 roku tj. zastosowany przy księgowaniu operacji w koszty roku 2026 i § obowiązujący w 2027 roku tj. stosowany przy zapłacie zobowiązania. W/w zestawienie stanowi załącznik do polecenia księgowania (PK).</w:t>
      </w:r>
    </w:p>
    <w:p w14:paraId="3E8D918B" w14:textId="0F43E52B" w:rsidR="00C10F11"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3. Wykonanie zarządzenia powierza się Skarbnikowi Gminy i pracownikom Urzędu Gminy w Jednorożcu.</w:t>
      </w:r>
    </w:p>
    <w:p w14:paraId="2BE8D3B4" w14:textId="77777777" w:rsidR="00E252D8" w:rsidRDefault="00E252D8" w:rsidP="00E252D8">
      <w:pPr>
        <w:pStyle w:val="western"/>
        <w:spacing w:before="0" w:beforeAutospacing="0" w:line="360" w:lineRule="auto"/>
        <w:jc w:val="both"/>
        <w:rPr>
          <w:rFonts w:ascii="Calibri" w:hAnsi="Calibri" w:cs="Calibri"/>
          <w:bCs/>
          <w:sz w:val="24"/>
          <w:szCs w:val="24"/>
        </w:rPr>
      </w:pPr>
      <w:r>
        <w:rPr>
          <w:rFonts w:ascii="Calibri" w:hAnsi="Calibri" w:cs="Calibri"/>
          <w:bCs/>
          <w:sz w:val="24"/>
          <w:szCs w:val="24"/>
        </w:rPr>
        <w:t>§ 4. Zarządzenie wchodzi w życie z dniem 1 stycznia 2027 roku.</w:t>
      </w:r>
    </w:p>
    <w:p w14:paraId="417DDC43" w14:textId="77777777" w:rsidR="00C10F11" w:rsidRDefault="00C10F11" w:rsidP="00C10F11">
      <w:pPr>
        <w:ind w:left="4956" w:firstLine="708"/>
      </w:pPr>
    </w:p>
    <w:p w14:paraId="55EB6AF7" w14:textId="4E61F5E0" w:rsidR="00996B4D" w:rsidRDefault="00C10F11" w:rsidP="00C10F11">
      <w:pPr>
        <w:ind w:left="5664" w:firstLine="708"/>
      </w:pPr>
      <w:r>
        <w:t xml:space="preserve"> Wójt </w:t>
      </w:r>
    </w:p>
    <w:p w14:paraId="54C03EBE" w14:textId="51553F15" w:rsidR="00C10F11" w:rsidRDefault="00C10F11" w:rsidP="00C10F11">
      <w:pPr>
        <w:ind w:left="4956" w:firstLine="708"/>
      </w:pPr>
      <w:r>
        <w:t xml:space="preserve">mgr inż. Krzysztof </w:t>
      </w:r>
      <w:proofErr w:type="spellStart"/>
      <w:r>
        <w:t>Nizielski</w:t>
      </w:r>
      <w:proofErr w:type="spellEnd"/>
    </w:p>
    <w:sectPr w:rsidR="00C10F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45E7D"/>
    <w:multiLevelType w:val="hybridMultilevel"/>
    <w:tmpl w:val="9CFA8D6A"/>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397074"/>
    <w:multiLevelType w:val="hybridMultilevel"/>
    <w:tmpl w:val="A1549B66"/>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B9960B9"/>
    <w:multiLevelType w:val="hybridMultilevel"/>
    <w:tmpl w:val="B6BCFFC4"/>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E426BC"/>
    <w:multiLevelType w:val="hybridMultilevel"/>
    <w:tmpl w:val="43F22672"/>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AE792A"/>
    <w:multiLevelType w:val="hybridMultilevel"/>
    <w:tmpl w:val="3514C408"/>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4D7693C"/>
    <w:multiLevelType w:val="hybridMultilevel"/>
    <w:tmpl w:val="E57C5F96"/>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344F9B"/>
    <w:multiLevelType w:val="multilevel"/>
    <w:tmpl w:val="41DAC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D60164"/>
    <w:multiLevelType w:val="hybridMultilevel"/>
    <w:tmpl w:val="A07EA1FE"/>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715EE0"/>
    <w:multiLevelType w:val="hybridMultilevel"/>
    <w:tmpl w:val="154A23CC"/>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num w:numId="1" w16cid:durableId="876046284">
    <w:abstractNumId w:val="7"/>
  </w:num>
  <w:num w:numId="2" w16cid:durableId="1060902949">
    <w:abstractNumId w:val="3"/>
  </w:num>
  <w:num w:numId="3" w16cid:durableId="2073890875">
    <w:abstractNumId w:val="0"/>
  </w:num>
  <w:num w:numId="4" w16cid:durableId="602155563">
    <w:abstractNumId w:val="6"/>
  </w:num>
  <w:num w:numId="5" w16cid:durableId="1047753861">
    <w:abstractNumId w:val="1"/>
  </w:num>
  <w:num w:numId="6" w16cid:durableId="49354878">
    <w:abstractNumId w:val="8"/>
  </w:num>
  <w:num w:numId="7" w16cid:durableId="1776245610">
    <w:abstractNumId w:val="4"/>
  </w:num>
  <w:num w:numId="8" w16cid:durableId="1370377280">
    <w:abstractNumId w:val="5"/>
  </w:num>
  <w:num w:numId="9" w16cid:durableId="500899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DD2"/>
    <w:rsid w:val="00106FB2"/>
    <w:rsid w:val="005E2042"/>
    <w:rsid w:val="00723DD2"/>
    <w:rsid w:val="00996B4D"/>
    <w:rsid w:val="00C10F11"/>
    <w:rsid w:val="00C32296"/>
    <w:rsid w:val="00D0065B"/>
    <w:rsid w:val="00DB2040"/>
    <w:rsid w:val="00E252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A59F"/>
  <w15:chartTrackingRefBased/>
  <w15:docId w15:val="{8D254AD2-1342-4802-8A60-E0ABB400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23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23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23DD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23DD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23DD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semiHidden/>
    <w:unhideWhenUsed/>
    <w:qFormat/>
    <w:rsid w:val="00723DD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23DD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23DD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23DD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23DD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23DD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23DD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23DD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23DD2"/>
    <w:rPr>
      <w:rFonts w:eastAsiaTheme="majorEastAsia" w:cstheme="majorBidi"/>
      <w:color w:val="0F4761" w:themeColor="accent1" w:themeShade="BF"/>
    </w:rPr>
  </w:style>
  <w:style w:type="character" w:customStyle="1" w:styleId="Nagwek6Znak">
    <w:name w:val="Nagłówek 6 Znak"/>
    <w:basedOn w:val="Domylnaczcionkaakapitu"/>
    <w:link w:val="Nagwek6"/>
    <w:semiHidden/>
    <w:rsid w:val="00723DD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23DD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23DD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23DD2"/>
    <w:rPr>
      <w:rFonts w:eastAsiaTheme="majorEastAsia" w:cstheme="majorBidi"/>
      <w:color w:val="272727" w:themeColor="text1" w:themeTint="D8"/>
    </w:rPr>
  </w:style>
  <w:style w:type="paragraph" w:styleId="Tytu">
    <w:name w:val="Title"/>
    <w:basedOn w:val="Normalny"/>
    <w:next w:val="Normalny"/>
    <w:link w:val="TytuZnak"/>
    <w:uiPriority w:val="10"/>
    <w:qFormat/>
    <w:rsid w:val="00723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23DD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23DD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23DD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23DD2"/>
    <w:pPr>
      <w:spacing w:before="160"/>
      <w:jc w:val="center"/>
    </w:pPr>
    <w:rPr>
      <w:i/>
      <w:iCs/>
      <w:color w:val="404040" w:themeColor="text1" w:themeTint="BF"/>
    </w:rPr>
  </w:style>
  <w:style w:type="character" w:customStyle="1" w:styleId="CytatZnak">
    <w:name w:val="Cytat Znak"/>
    <w:basedOn w:val="Domylnaczcionkaakapitu"/>
    <w:link w:val="Cytat"/>
    <w:uiPriority w:val="29"/>
    <w:rsid w:val="00723DD2"/>
    <w:rPr>
      <w:i/>
      <w:iCs/>
      <w:color w:val="404040" w:themeColor="text1" w:themeTint="BF"/>
    </w:rPr>
  </w:style>
  <w:style w:type="paragraph" w:styleId="Akapitzlist">
    <w:name w:val="List Paragraph"/>
    <w:basedOn w:val="Normalny"/>
    <w:uiPriority w:val="34"/>
    <w:qFormat/>
    <w:rsid w:val="00723DD2"/>
    <w:pPr>
      <w:ind w:left="720"/>
      <w:contextualSpacing/>
    </w:pPr>
  </w:style>
  <w:style w:type="character" w:styleId="Wyrnienieintensywne">
    <w:name w:val="Intense Emphasis"/>
    <w:basedOn w:val="Domylnaczcionkaakapitu"/>
    <w:uiPriority w:val="21"/>
    <w:qFormat/>
    <w:rsid w:val="00723DD2"/>
    <w:rPr>
      <w:i/>
      <w:iCs/>
      <w:color w:val="0F4761" w:themeColor="accent1" w:themeShade="BF"/>
    </w:rPr>
  </w:style>
  <w:style w:type="paragraph" w:styleId="Cytatintensywny">
    <w:name w:val="Intense Quote"/>
    <w:basedOn w:val="Normalny"/>
    <w:next w:val="Normalny"/>
    <w:link w:val="CytatintensywnyZnak"/>
    <w:uiPriority w:val="30"/>
    <w:qFormat/>
    <w:rsid w:val="00723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23DD2"/>
    <w:rPr>
      <w:i/>
      <w:iCs/>
      <w:color w:val="0F4761" w:themeColor="accent1" w:themeShade="BF"/>
    </w:rPr>
  </w:style>
  <w:style w:type="character" w:styleId="Odwoanieintensywne">
    <w:name w:val="Intense Reference"/>
    <w:basedOn w:val="Domylnaczcionkaakapitu"/>
    <w:uiPriority w:val="32"/>
    <w:qFormat/>
    <w:rsid w:val="00723DD2"/>
    <w:rPr>
      <w:b/>
      <w:bCs/>
      <w:smallCaps/>
      <w:color w:val="0F4761" w:themeColor="accent1" w:themeShade="BF"/>
      <w:spacing w:val="5"/>
    </w:rPr>
  </w:style>
  <w:style w:type="paragraph" w:styleId="NormalnyWeb">
    <w:name w:val="Normal (Web)"/>
    <w:basedOn w:val="Normalny"/>
    <w:uiPriority w:val="99"/>
    <w:semiHidden/>
    <w:unhideWhenUsed/>
    <w:rsid w:val="00E252D8"/>
    <w:pPr>
      <w:spacing w:before="100" w:beforeAutospacing="1" w:after="0" w:line="240" w:lineRule="auto"/>
    </w:pPr>
    <w:rPr>
      <w:rFonts w:ascii="Times New Roman" w:eastAsia="Times New Roman" w:hAnsi="Times New Roman" w:cs="Times New Roman"/>
      <w:kern w:val="0"/>
      <w:sz w:val="24"/>
      <w:szCs w:val="24"/>
      <w:lang w:eastAsia="pl-PL"/>
      <w14:ligatures w14:val="none"/>
    </w:rPr>
  </w:style>
  <w:style w:type="paragraph" w:customStyle="1" w:styleId="western">
    <w:name w:val="western"/>
    <w:basedOn w:val="Normalny"/>
    <w:uiPriority w:val="99"/>
    <w:rsid w:val="00E252D8"/>
    <w:pPr>
      <w:spacing w:before="100" w:beforeAutospacing="1" w:after="0" w:line="240" w:lineRule="auto"/>
    </w:pPr>
    <w:rPr>
      <w:rFonts w:ascii="Times New Roman" w:eastAsia="Times New Roman" w:hAnsi="Times New Roman" w:cs="Times New Roman"/>
      <w:kern w:val="0"/>
      <w:sz w:val="28"/>
      <w:szCs w:val="28"/>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2806</Words>
  <Characters>16838</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Kucińska</dc:creator>
  <cp:keywords/>
  <dc:description/>
  <cp:lastModifiedBy>Magdalena Kucińska</cp:lastModifiedBy>
  <cp:revision>5</cp:revision>
  <cp:lastPrinted>2026-09-16T12:50:00Z</cp:lastPrinted>
  <dcterms:created xsi:type="dcterms:W3CDTF">2026-09-16T11:35:00Z</dcterms:created>
  <dcterms:modified xsi:type="dcterms:W3CDTF">2026-09-16T12:50:00Z</dcterms:modified>
</cp:coreProperties>
</file>